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4344" w14:textId="77777777" w:rsidR="00F1508A" w:rsidRDefault="0051541D" w:rsidP="00E066F4">
      <w:pPr>
        <w:pStyle w:val="Bezproreda"/>
      </w:pPr>
      <w:r>
        <w:t>OSNOVNA ŠKOLA „LJUDEVIT GAJ“ KRAPINA</w:t>
      </w:r>
    </w:p>
    <w:p w14:paraId="22735C26" w14:textId="77777777" w:rsidR="0051541D" w:rsidRDefault="0051541D" w:rsidP="0051541D">
      <w:pPr>
        <w:pStyle w:val="Bezproreda"/>
      </w:pPr>
      <w:r>
        <w:t>TRG STJEPANA RADIĆA 1, 49000 KRAPINA</w:t>
      </w:r>
    </w:p>
    <w:p w14:paraId="3EA2EC7B" w14:textId="77777777" w:rsidR="0051541D" w:rsidRDefault="0051541D" w:rsidP="0051541D">
      <w:pPr>
        <w:pStyle w:val="Bezproreda"/>
      </w:pPr>
      <w:r>
        <w:t>OIB:</w:t>
      </w:r>
      <w:r w:rsidR="00203E91">
        <w:t xml:space="preserve"> </w:t>
      </w:r>
      <w:r>
        <w:t>68206344969</w:t>
      </w:r>
    </w:p>
    <w:p w14:paraId="0B56F9E3" w14:textId="77777777" w:rsidR="0051541D" w:rsidRDefault="0051541D" w:rsidP="0051541D">
      <w:pPr>
        <w:pStyle w:val="Bezproreda"/>
      </w:pPr>
      <w:r>
        <w:t>MB: 03079589</w:t>
      </w:r>
    </w:p>
    <w:p w14:paraId="22BD2CB8" w14:textId="77777777" w:rsidR="0051541D" w:rsidRDefault="0051541D" w:rsidP="0051541D">
      <w:pPr>
        <w:pStyle w:val="Bezproreda"/>
      </w:pPr>
      <w:r>
        <w:t>Šifra škole: 02-040-002</w:t>
      </w:r>
    </w:p>
    <w:p w14:paraId="4E694B9C" w14:textId="77777777" w:rsidR="0051541D" w:rsidRDefault="0051541D" w:rsidP="0051541D">
      <w:pPr>
        <w:pStyle w:val="Bezproreda"/>
      </w:pPr>
      <w:r>
        <w:t>RKDP: 15866</w:t>
      </w:r>
    </w:p>
    <w:p w14:paraId="3886856D" w14:textId="77777777" w:rsidR="0051541D" w:rsidRDefault="0051541D" w:rsidP="0051541D">
      <w:pPr>
        <w:pStyle w:val="Bezproreda"/>
      </w:pPr>
      <w:r>
        <w:t xml:space="preserve">E-mail: </w:t>
      </w:r>
      <w:hyperlink r:id="rId6" w:history="1">
        <w:r w:rsidRPr="007F20BB">
          <w:rPr>
            <w:rStyle w:val="Hiperveza"/>
          </w:rPr>
          <w:t>ured@os-ljudevit-gaj-kr.skole.hr</w:t>
        </w:r>
      </w:hyperlink>
    </w:p>
    <w:p w14:paraId="1BB973B4" w14:textId="77777777" w:rsidR="0051541D" w:rsidRDefault="0051541D" w:rsidP="0051541D">
      <w:pPr>
        <w:pStyle w:val="Bezproreda"/>
      </w:pPr>
      <w:r>
        <w:t>Telefon: 049/370-618</w:t>
      </w:r>
    </w:p>
    <w:p w14:paraId="34987059" w14:textId="3F7F60CB" w:rsidR="0051541D" w:rsidRDefault="0051541D" w:rsidP="0051541D">
      <w:pPr>
        <w:pStyle w:val="Bezproreda"/>
      </w:pPr>
      <w:r>
        <w:t>KLASA:</w:t>
      </w:r>
      <w:r w:rsidR="00A9623B">
        <w:t xml:space="preserve"> 400-02/2</w:t>
      </w:r>
      <w:r w:rsidR="00291DDF">
        <w:t>5</w:t>
      </w:r>
      <w:r w:rsidR="00A9623B">
        <w:t>-01/</w:t>
      </w:r>
      <w:r w:rsidR="0031444F">
        <w:t>6</w:t>
      </w:r>
    </w:p>
    <w:p w14:paraId="38C6FB51" w14:textId="50559E56" w:rsidR="0051541D" w:rsidRDefault="0051541D" w:rsidP="0051541D">
      <w:pPr>
        <w:pStyle w:val="Bezproreda"/>
      </w:pPr>
      <w:r>
        <w:t>URBROJ:</w:t>
      </w:r>
      <w:r w:rsidR="00A9623B">
        <w:t xml:space="preserve"> 2140-1-4-01-2</w:t>
      </w:r>
      <w:r w:rsidR="00291DDF">
        <w:t>5</w:t>
      </w:r>
      <w:r w:rsidR="00A9623B">
        <w:t>-1</w:t>
      </w:r>
    </w:p>
    <w:p w14:paraId="44A43568" w14:textId="7B049C13" w:rsidR="0051541D" w:rsidRDefault="00EE01DF" w:rsidP="0051541D">
      <w:pPr>
        <w:pStyle w:val="Bezproreda"/>
      </w:pPr>
      <w:r w:rsidRPr="00AA60D6">
        <w:t xml:space="preserve">Krapina, </w:t>
      </w:r>
      <w:r w:rsidR="0031444F">
        <w:t>2</w:t>
      </w:r>
      <w:r w:rsidR="001A7A72">
        <w:t>4</w:t>
      </w:r>
      <w:r w:rsidR="0051541D" w:rsidRPr="00AA60D6">
        <w:t>.0</w:t>
      </w:r>
      <w:r w:rsidR="00E06779">
        <w:t>7</w:t>
      </w:r>
      <w:r w:rsidR="0051541D" w:rsidRPr="00AA60D6">
        <w:t>.202</w:t>
      </w:r>
      <w:r w:rsidR="00291DDF" w:rsidRPr="00AA60D6">
        <w:t>5</w:t>
      </w:r>
      <w:r w:rsidR="0051541D" w:rsidRPr="00AA60D6">
        <w:t>.</w:t>
      </w:r>
    </w:p>
    <w:p w14:paraId="6AA1AE98" w14:textId="77777777" w:rsidR="0051541D" w:rsidRDefault="0051541D" w:rsidP="0051541D">
      <w:pPr>
        <w:pStyle w:val="Bezproreda"/>
      </w:pPr>
    </w:p>
    <w:p w14:paraId="57B3F8ED" w14:textId="795F6145" w:rsidR="0051541D" w:rsidRDefault="0051541D" w:rsidP="0051541D">
      <w:pPr>
        <w:pStyle w:val="Bezproreda"/>
      </w:pPr>
      <w:r>
        <w:t>Predmet: Obrazloženje</w:t>
      </w:r>
      <w:r w:rsidR="00B809BD">
        <w:t xml:space="preserve"> </w:t>
      </w:r>
      <w:r w:rsidR="00427A1B">
        <w:t>polugodiš</w:t>
      </w:r>
      <w:r w:rsidR="00CD331E">
        <w:t>nje</w:t>
      </w:r>
      <w:r w:rsidR="00366487">
        <w:t>g</w:t>
      </w:r>
      <w:r w:rsidR="00CD331E">
        <w:t xml:space="preserve"> i</w:t>
      </w:r>
      <w:r>
        <w:t xml:space="preserve">zvještaja o izvršenju financijskog plana za razdoblje </w:t>
      </w:r>
    </w:p>
    <w:p w14:paraId="2E6171AB" w14:textId="6BF796F7" w:rsidR="0051541D" w:rsidRDefault="0051541D" w:rsidP="0051541D">
      <w:pPr>
        <w:pStyle w:val="Bezproreda"/>
      </w:pPr>
      <w:r>
        <w:tab/>
        <w:t xml:space="preserve">    01.01.202</w:t>
      </w:r>
      <w:r w:rsidR="00E06779">
        <w:t>5</w:t>
      </w:r>
      <w:r>
        <w:t>. - 3</w:t>
      </w:r>
      <w:r w:rsidR="00E06779">
        <w:t>0</w:t>
      </w:r>
      <w:r>
        <w:t>.</w:t>
      </w:r>
      <w:r w:rsidR="00E06779">
        <w:t>06</w:t>
      </w:r>
      <w:r>
        <w:t>.202</w:t>
      </w:r>
      <w:r w:rsidR="00E06779">
        <w:t>5</w:t>
      </w:r>
      <w:r>
        <w:t>.</w:t>
      </w:r>
    </w:p>
    <w:p w14:paraId="6B52713B" w14:textId="77777777" w:rsidR="00497A18" w:rsidRDefault="00497A18" w:rsidP="0051541D">
      <w:pPr>
        <w:pStyle w:val="Bezproreda"/>
      </w:pPr>
    </w:p>
    <w:p w14:paraId="54CEC28B" w14:textId="77777777" w:rsidR="0051541D" w:rsidRPr="00EC4BD3" w:rsidRDefault="00497A18" w:rsidP="0051541D">
      <w:pPr>
        <w:pStyle w:val="Bezproreda"/>
        <w:rPr>
          <w:b/>
        </w:rPr>
      </w:pPr>
      <w:r w:rsidRPr="00EC4BD3">
        <w:rPr>
          <w:b/>
        </w:rPr>
        <w:t>1. UVODNE NAPOMENE</w:t>
      </w:r>
    </w:p>
    <w:p w14:paraId="1B0A2DBC" w14:textId="77777777" w:rsidR="00497A18" w:rsidRDefault="00497A18" w:rsidP="0051541D">
      <w:pPr>
        <w:pStyle w:val="Bezproreda"/>
      </w:pPr>
    </w:p>
    <w:p w14:paraId="7089339A" w14:textId="78C93B16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 xml:space="preserve">Obveza izrade </w:t>
      </w:r>
      <w:r w:rsidR="00605A9D">
        <w:rPr>
          <w:rFonts w:cstheme="minorHAnsi"/>
        </w:rPr>
        <w:t xml:space="preserve">te sadržaj </w:t>
      </w:r>
      <w:r w:rsidRPr="00702E1F">
        <w:rPr>
          <w:rFonts w:cstheme="minorHAnsi"/>
        </w:rPr>
        <w:t>polugodišnjeg i godišnjeg izvještaja o izvršenju financijskog plana proračunskih korisnika propisana je</w:t>
      </w:r>
      <w:r w:rsidR="00CA7E4B">
        <w:rPr>
          <w:rFonts w:cstheme="minorHAnsi"/>
        </w:rPr>
        <w:t xml:space="preserve"> čl.</w:t>
      </w:r>
      <w:r w:rsidR="00605A9D">
        <w:rPr>
          <w:rFonts w:cstheme="minorHAnsi"/>
        </w:rPr>
        <w:t xml:space="preserve"> </w:t>
      </w:r>
      <w:r w:rsidR="00CA7E4B">
        <w:rPr>
          <w:rFonts w:cstheme="minorHAnsi"/>
        </w:rPr>
        <w:t>81.</w:t>
      </w:r>
      <w:r w:rsidR="001B11D0">
        <w:rPr>
          <w:rFonts w:cstheme="minorHAnsi"/>
        </w:rPr>
        <w:t>-8</w:t>
      </w:r>
      <w:r w:rsidR="004E1BE3">
        <w:rPr>
          <w:rFonts w:cstheme="minorHAnsi"/>
        </w:rPr>
        <w:t>6</w:t>
      </w:r>
      <w:r w:rsidR="001B11D0">
        <w:rPr>
          <w:rFonts w:cstheme="minorHAnsi"/>
        </w:rPr>
        <w:t>.</w:t>
      </w:r>
      <w:r w:rsidR="00CA7E4B">
        <w:rPr>
          <w:rFonts w:cstheme="minorHAnsi"/>
        </w:rPr>
        <w:t xml:space="preserve"> </w:t>
      </w:r>
      <w:r w:rsidRPr="00702E1F">
        <w:rPr>
          <w:rFonts w:cstheme="minorHAnsi"/>
        </w:rPr>
        <w:t>Zakona o proračunu (NN 144/2021</w:t>
      </w:r>
      <w:r w:rsidR="00CA7E4B">
        <w:rPr>
          <w:rFonts w:cstheme="minorHAnsi"/>
        </w:rPr>
        <w:t>.</w:t>
      </w:r>
      <w:r w:rsidRPr="00702E1F">
        <w:rPr>
          <w:rFonts w:cstheme="minorHAnsi"/>
        </w:rPr>
        <w:t>)</w:t>
      </w:r>
      <w:r w:rsidR="00CA7E4B">
        <w:rPr>
          <w:rFonts w:cstheme="minorHAnsi"/>
        </w:rPr>
        <w:t xml:space="preserve">, </w:t>
      </w:r>
      <w:r w:rsidR="00DF6292">
        <w:rPr>
          <w:rFonts w:cstheme="minorHAnsi"/>
        </w:rPr>
        <w:t xml:space="preserve">i Pravilnikom o polugodišnjem i godišnjem izvještaju o izvršenju proračuna i financijskog plana (NN 85/2023.), </w:t>
      </w:r>
      <w:r w:rsidR="00CA7E4B">
        <w:rPr>
          <w:rFonts w:cstheme="minorHAnsi"/>
        </w:rPr>
        <w:t>a temeljem čl.</w:t>
      </w:r>
      <w:r w:rsidR="00605A9D">
        <w:rPr>
          <w:rFonts w:cstheme="minorHAnsi"/>
        </w:rPr>
        <w:t xml:space="preserve"> </w:t>
      </w:r>
      <w:r w:rsidR="00CA7E4B">
        <w:rPr>
          <w:rFonts w:cstheme="minorHAnsi"/>
        </w:rPr>
        <w:t>86. Zakona o proračunu proračunski korisnik dužan je upravljačkom tijelu u skladu s aktima kojima je uređen rad proračunskog korisnika, dostaviti na usvajanje</w:t>
      </w:r>
      <w:r w:rsidR="0024219F">
        <w:rPr>
          <w:rFonts w:cstheme="minorHAnsi"/>
        </w:rPr>
        <w:t xml:space="preserve"> </w:t>
      </w:r>
      <w:r w:rsidR="00CA7E4B">
        <w:rPr>
          <w:rFonts w:cstheme="minorHAnsi"/>
        </w:rPr>
        <w:t>godišnj</w:t>
      </w:r>
      <w:r w:rsidR="00653772">
        <w:rPr>
          <w:rFonts w:cstheme="minorHAnsi"/>
        </w:rPr>
        <w:t>i</w:t>
      </w:r>
      <w:r w:rsidR="00CA7E4B">
        <w:rPr>
          <w:rFonts w:cstheme="minorHAnsi"/>
        </w:rPr>
        <w:t xml:space="preserve"> izvještaj o izvršenju financijskog plana za razdoblje 01.01.202</w:t>
      </w:r>
      <w:r w:rsidR="00E06779">
        <w:rPr>
          <w:rFonts w:cstheme="minorHAnsi"/>
        </w:rPr>
        <w:t>5</w:t>
      </w:r>
      <w:r w:rsidR="00CA7E4B">
        <w:rPr>
          <w:rFonts w:cstheme="minorHAnsi"/>
        </w:rPr>
        <w:t>.-3</w:t>
      </w:r>
      <w:r w:rsidR="00E06779">
        <w:rPr>
          <w:rFonts w:cstheme="minorHAnsi"/>
        </w:rPr>
        <w:t>0</w:t>
      </w:r>
      <w:r w:rsidR="00CA7E4B">
        <w:rPr>
          <w:rFonts w:cstheme="minorHAnsi"/>
        </w:rPr>
        <w:t>.</w:t>
      </w:r>
      <w:r w:rsidR="00E06779">
        <w:rPr>
          <w:rFonts w:cstheme="minorHAnsi"/>
        </w:rPr>
        <w:t>06</w:t>
      </w:r>
      <w:r w:rsidR="00CA7E4B">
        <w:rPr>
          <w:rFonts w:cstheme="minorHAnsi"/>
        </w:rPr>
        <w:t>.202</w:t>
      </w:r>
      <w:r w:rsidR="00E06779">
        <w:rPr>
          <w:rFonts w:cstheme="minorHAnsi"/>
        </w:rPr>
        <w:t>5</w:t>
      </w:r>
      <w:r w:rsidR="00CA7E4B">
        <w:rPr>
          <w:rFonts w:cstheme="minorHAnsi"/>
        </w:rPr>
        <w:t>.</w:t>
      </w:r>
      <w:r w:rsidR="0024219F">
        <w:rPr>
          <w:rFonts w:cstheme="minorHAnsi"/>
        </w:rPr>
        <w:t xml:space="preserve"> do </w:t>
      </w:r>
      <w:r w:rsidR="00CD331E">
        <w:rPr>
          <w:rFonts w:cstheme="minorHAnsi"/>
        </w:rPr>
        <w:t>31</w:t>
      </w:r>
      <w:r w:rsidR="0024219F">
        <w:rPr>
          <w:rFonts w:cstheme="minorHAnsi"/>
        </w:rPr>
        <w:t xml:space="preserve">. </w:t>
      </w:r>
      <w:r w:rsidR="00E06779">
        <w:rPr>
          <w:rFonts w:cstheme="minorHAnsi"/>
        </w:rPr>
        <w:t>srpnj</w:t>
      </w:r>
      <w:r w:rsidR="00291DDF">
        <w:rPr>
          <w:rFonts w:cstheme="minorHAnsi"/>
        </w:rPr>
        <w:t>a</w:t>
      </w:r>
      <w:r w:rsidR="0024219F">
        <w:rPr>
          <w:rFonts w:cstheme="minorHAnsi"/>
        </w:rPr>
        <w:t xml:space="preserve"> 202</w:t>
      </w:r>
      <w:r w:rsidR="00291DDF">
        <w:rPr>
          <w:rFonts w:cstheme="minorHAnsi"/>
        </w:rPr>
        <w:t>5</w:t>
      </w:r>
      <w:r w:rsidR="0024219F">
        <w:rPr>
          <w:rFonts w:cstheme="minorHAnsi"/>
        </w:rPr>
        <w:t>. godine te ga dostaviti osnivaču, Gradu Krapini.</w:t>
      </w:r>
    </w:p>
    <w:p w14:paraId="5A8D7E86" w14:textId="0BC11202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>Obzirom da Izvještaj o izvršenju pokazuje jesu li sredstva utrošena sukladno donesenom financijskom planu proizlazi kako njegov sadržaj mora biti u skladu s podacima iskazanim u planu, posebice jer su podaci iz izvještaja o izvršenju financijskih planova proračunskog korisnika dio izvještaja o izvršenju JLP(R)S.</w:t>
      </w:r>
      <w:r w:rsidR="0024219F">
        <w:rPr>
          <w:rFonts w:cstheme="minorHAnsi"/>
        </w:rPr>
        <w:t xml:space="preserve"> Financijski plan Osnovne škole „Ljudevit Gaj“ Krapina</w:t>
      </w:r>
      <w:r w:rsidR="001A26D7">
        <w:rPr>
          <w:rFonts w:cstheme="minorHAnsi"/>
        </w:rPr>
        <w:t xml:space="preserve"> za 202</w:t>
      </w:r>
      <w:r w:rsidR="00E06779">
        <w:rPr>
          <w:rFonts w:cstheme="minorHAnsi"/>
        </w:rPr>
        <w:t>5</w:t>
      </w:r>
      <w:r w:rsidR="001A26D7">
        <w:rPr>
          <w:rFonts w:cstheme="minorHAnsi"/>
        </w:rPr>
        <w:t>. godinu</w:t>
      </w:r>
      <w:r w:rsidR="0024219F">
        <w:rPr>
          <w:rFonts w:cstheme="minorHAnsi"/>
        </w:rPr>
        <w:t xml:space="preserve"> usvojen je na sjednici Školskog odbora održanoj</w:t>
      </w:r>
      <w:r w:rsidR="001E010A">
        <w:rPr>
          <w:rFonts w:cstheme="minorHAnsi"/>
        </w:rPr>
        <w:t xml:space="preserve"> </w:t>
      </w:r>
      <w:r w:rsidR="00E7750E">
        <w:rPr>
          <w:rFonts w:cstheme="minorHAnsi"/>
        </w:rPr>
        <w:t>1</w:t>
      </w:r>
      <w:r w:rsidR="00914A5D">
        <w:rPr>
          <w:rFonts w:cstheme="minorHAnsi"/>
        </w:rPr>
        <w:t>7</w:t>
      </w:r>
      <w:r w:rsidR="001E010A">
        <w:rPr>
          <w:rFonts w:cstheme="minorHAnsi"/>
        </w:rPr>
        <w:t>.1</w:t>
      </w:r>
      <w:r w:rsidR="00E06779">
        <w:rPr>
          <w:rFonts w:cstheme="minorHAnsi"/>
        </w:rPr>
        <w:t>2</w:t>
      </w:r>
      <w:r w:rsidR="001E010A">
        <w:rPr>
          <w:rFonts w:cstheme="minorHAnsi"/>
        </w:rPr>
        <w:t>.202</w:t>
      </w:r>
      <w:r w:rsidR="00E06779">
        <w:rPr>
          <w:rFonts w:cstheme="minorHAnsi"/>
        </w:rPr>
        <w:t>4.</w:t>
      </w:r>
      <w:r w:rsidR="00132C36">
        <w:rPr>
          <w:rFonts w:cstheme="minorHAnsi"/>
        </w:rPr>
        <w:t xml:space="preserve"> god.</w:t>
      </w:r>
    </w:p>
    <w:p w14:paraId="013BC3F5" w14:textId="37023077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 xml:space="preserve">Slijedom gore navedenog </w:t>
      </w:r>
      <w:r w:rsidR="005D2799">
        <w:rPr>
          <w:rFonts w:cstheme="minorHAnsi"/>
        </w:rPr>
        <w:t>Polug</w:t>
      </w:r>
      <w:r w:rsidR="00EE4E78">
        <w:rPr>
          <w:rFonts w:cstheme="minorHAnsi"/>
        </w:rPr>
        <w:t>odišnji i</w:t>
      </w:r>
      <w:r w:rsidRPr="00702E1F">
        <w:rPr>
          <w:rFonts w:cstheme="minorHAnsi"/>
        </w:rPr>
        <w:t xml:space="preserve">zvještaj o izvršenju financijskog plana Osnovne škole „Ljudevit Gaj“ Krapina sastoji se od: </w:t>
      </w:r>
    </w:p>
    <w:p w14:paraId="6CD94958" w14:textId="400DD49C" w:rsidR="00702E1F" w:rsidRDefault="00702E1F" w:rsidP="00702E1F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702E1F">
        <w:rPr>
          <w:rFonts w:cstheme="minorHAnsi"/>
        </w:rPr>
        <w:t>Opći dio -</w:t>
      </w:r>
      <w:r w:rsidR="00A35039">
        <w:rPr>
          <w:rFonts w:cstheme="minorHAnsi"/>
        </w:rPr>
        <w:t xml:space="preserve">Sažetak </w:t>
      </w:r>
      <w:r w:rsidRPr="00702E1F">
        <w:rPr>
          <w:rFonts w:cstheme="minorHAnsi"/>
        </w:rPr>
        <w:t>Račun</w:t>
      </w:r>
      <w:r w:rsidR="00A35039">
        <w:rPr>
          <w:rFonts w:cstheme="minorHAnsi"/>
        </w:rPr>
        <w:t>a</w:t>
      </w:r>
      <w:r w:rsidRPr="00702E1F">
        <w:rPr>
          <w:rFonts w:cstheme="minorHAnsi"/>
        </w:rPr>
        <w:t xml:space="preserve"> prihoda i rashoda</w:t>
      </w:r>
      <w:r w:rsidR="00A35039">
        <w:rPr>
          <w:rFonts w:cstheme="minorHAnsi"/>
        </w:rPr>
        <w:t xml:space="preserve"> i Računa financiranja</w:t>
      </w:r>
    </w:p>
    <w:p w14:paraId="040B7BDA" w14:textId="08FEAB46" w:rsidR="00A35039" w:rsidRDefault="00A35039" w:rsidP="00A35039">
      <w:pPr>
        <w:pStyle w:val="Bezproreda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  -Račun prihoda i rashoda</w:t>
      </w:r>
    </w:p>
    <w:p w14:paraId="0B73DA07" w14:textId="23289805" w:rsidR="00A35039" w:rsidRPr="00702E1F" w:rsidRDefault="00A35039" w:rsidP="00A35039">
      <w:pPr>
        <w:pStyle w:val="Bezproreda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  -Račun financiranja</w:t>
      </w:r>
    </w:p>
    <w:p w14:paraId="49FF0C3F" w14:textId="25422D2E" w:rsidR="00702E1F" w:rsidRPr="00702E1F" w:rsidRDefault="00702E1F" w:rsidP="00702E1F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702E1F">
        <w:rPr>
          <w:rFonts w:cstheme="minorHAnsi"/>
        </w:rPr>
        <w:t>Posebni dio</w:t>
      </w:r>
      <w:r w:rsidR="0013097E">
        <w:rPr>
          <w:rFonts w:cstheme="minorHAnsi"/>
        </w:rPr>
        <w:t>-</w:t>
      </w:r>
      <w:r w:rsidRPr="00702E1F">
        <w:rPr>
          <w:rFonts w:cstheme="minorHAnsi"/>
        </w:rPr>
        <w:t>Izvršenje rashoda i izdataka</w:t>
      </w:r>
      <w:r w:rsidR="00CA7E4B">
        <w:rPr>
          <w:rFonts w:cstheme="minorHAnsi"/>
        </w:rPr>
        <w:t xml:space="preserve"> prema programskoj i ekonomskoj </w:t>
      </w:r>
      <w:r w:rsidRPr="00702E1F">
        <w:rPr>
          <w:rFonts w:cstheme="minorHAnsi"/>
        </w:rPr>
        <w:t>klasifikaciji te izvorima</w:t>
      </w:r>
    </w:p>
    <w:p w14:paraId="5885B3E9" w14:textId="040903BE" w:rsidR="00702E1F" w:rsidRDefault="00702E1F" w:rsidP="00702E1F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E1F">
        <w:rPr>
          <w:rFonts w:asciiTheme="minorHAnsi" w:hAnsiTheme="minorHAnsi" w:cstheme="minorHAnsi"/>
          <w:bCs/>
          <w:sz w:val="22"/>
          <w:szCs w:val="22"/>
        </w:rPr>
        <w:t xml:space="preserve">Obrazloženje </w:t>
      </w:r>
      <w:r w:rsidR="00A35039">
        <w:rPr>
          <w:rFonts w:asciiTheme="minorHAnsi" w:hAnsiTheme="minorHAnsi" w:cstheme="minorHAnsi"/>
          <w:bCs/>
          <w:sz w:val="22"/>
          <w:szCs w:val="22"/>
        </w:rPr>
        <w:t>izvršenja financijskog plana</w:t>
      </w:r>
    </w:p>
    <w:p w14:paraId="6C2426B9" w14:textId="581ED2F2" w:rsidR="00A35039" w:rsidRDefault="00A35039" w:rsidP="00702E1F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Posebni izvještaji</w:t>
      </w:r>
    </w:p>
    <w:p w14:paraId="1C53E87C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0A93AB" w14:textId="77777777" w:rsidR="00497A18" w:rsidRPr="00EC4BD3" w:rsidRDefault="00497A18" w:rsidP="00497A1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4BD3">
        <w:rPr>
          <w:rFonts w:asciiTheme="minorHAnsi" w:hAnsiTheme="minorHAnsi" w:cstheme="minorHAnsi"/>
          <w:b/>
          <w:bCs/>
          <w:sz w:val="22"/>
          <w:szCs w:val="22"/>
        </w:rPr>
        <w:t xml:space="preserve">2. OBRAZLOŽENJE OPĆEG DIJELA IZVJEŠTAJA O IZVRŠENJU FINANCIJSKOG PLANA </w:t>
      </w:r>
    </w:p>
    <w:p w14:paraId="62CFF0EB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A537E" w14:textId="77777777" w:rsidR="00497A18" w:rsidRPr="00EC4BD3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2.1. Prihodi i primici</w:t>
      </w:r>
    </w:p>
    <w:p w14:paraId="4A41E6BC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3D8B98" w14:textId="17885BB7" w:rsidR="00EC4BD3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i primici OŠ „Ljudevit Gaj“ Krapina za 202</w:t>
      </w:r>
      <w:r w:rsidR="00E06779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god. planirani su u ukupnom iznosu </w:t>
      </w:r>
      <w:r w:rsidR="00130101">
        <w:rPr>
          <w:rFonts w:asciiTheme="minorHAnsi" w:hAnsiTheme="minorHAnsi" w:cstheme="minorHAnsi"/>
          <w:bCs/>
          <w:sz w:val="22"/>
          <w:szCs w:val="22"/>
        </w:rPr>
        <w:t>2.</w:t>
      </w:r>
      <w:r w:rsidR="00A021E7">
        <w:rPr>
          <w:rFonts w:asciiTheme="minorHAnsi" w:hAnsiTheme="minorHAnsi" w:cstheme="minorHAnsi"/>
          <w:bCs/>
          <w:sz w:val="22"/>
          <w:szCs w:val="22"/>
        </w:rPr>
        <w:t>707.298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</w:t>
      </w:r>
      <w:r w:rsidR="000A31F7">
        <w:rPr>
          <w:rFonts w:asciiTheme="minorHAnsi" w:hAnsiTheme="minorHAnsi" w:cstheme="minorHAnsi"/>
          <w:bCs/>
          <w:sz w:val="22"/>
          <w:szCs w:val="22"/>
        </w:rPr>
        <w:t>a u razdoblju 01.01.202</w:t>
      </w:r>
      <w:r w:rsidR="00E06779">
        <w:rPr>
          <w:rFonts w:asciiTheme="minorHAnsi" w:hAnsiTheme="minorHAnsi" w:cstheme="minorHAnsi"/>
          <w:bCs/>
          <w:sz w:val="22"/>
          <w:szCs w:val="22"/>
        </w:rPr>
        <w:t>5</w:t>
      </w:r>
      <w:r w:rsidR="000A31F7">
        <w:rPr>
          <w:rFonts w:asciiTheme="minorHAnsi" w:hAnsiTheme="minorHAnsi" w:cstheme="minorHAnsi"/>
          <w:bCs/>
          <w:sz w:val="22"/>
          <w:szCs w:val="22"/>
        </w:rPr>
        <w:t>.-3</w:t>
      </w:r>
      <w:r w:rsidR="00E06779">
        <w:rPr>
          <w:rFonts w:asciiTheme="minorHAnsi" w:hAnsiTheme="minorHAnsi" w:cstheme="minorHAnsi"/>
          <w:bCs/>
          <w:sz w:val="22"/>
          <w:szCs w:val="22"/>
        </w:rPr>
        <w:t>0</w:t>
      </w:r>
      <w:r w:rsidR="00A419AF">
        <w:rPr>
          <w:rFonts w:asciiTheme="minorHAnsi" w:hAnsiTheme="minorHAnsi" w:cstheme="minorHAnsi"/>
          <w:bCs/>
          <w:sz w:val="22"/>
          <w:szCs w:val="22"/>
        </w:rPr>
        <w:t>.</w:t>
      </w:r>
      <w:r w:rsidR="00E06779">
        <w:rPr>
          <w:rFonts w:asciiTheme="minorHAnsi" w:hAnsiTheme="minorHAnsi" w:cstheme="minorHAnsi"/>
          <w:bCs/>
          <w:sz w:val="22"/>
          <w:szCs w:val="22"/>
        </w:rPr>
        <w:t>06</w:t>
      </w:r>
      <w:r w:rsidR="000A31F7">
        <w:rPr>
          <w:rFonts w:asciiTheme="minorHAnsi" w:hAnsiTheme="minorHAnsi" w:cstheme="minorHAnsi"/>
          <w:bCs/>
          <w:sz w:val="22"/>
          <w:szCs w:val="22"/>
        </w:rPr>
        <w:t>.202</w:t>
      </w:r>
      <w:r w:rsidR="00E06779">
        <w:rPr>
          <w:rFonts w:asciiTheme="minorHAnsi" w:hAnsiTheme="minorHAnsi" w:cstheme="minorHAnsi"/>
          <w:bCs/>
          <w:sz w:val="22"/>
          <w:szCs w:val="22"/>
        </w:rPr>
        <w:t>5</w:t>
      </w:r>
      <w:r w:rsidR="000A31F7">
        <w:rPr>
          <w:rFonts w:asciiTheme="minorHAnsi" w:hAnsiTheme="minorHAnsi" w:cstheme="minorHAnsi"/>
          <w:bCs/>
          <w:sz w:val="22"/>
          <w:szCs w:val="22"/>
        </w:rPr>
        <w:t>. ostvareni su u iznosu</w:t>
      </w:r>
      <w:r w:rsidR="002A31A4">
        <w:rPr>
          <w:rFonts w:asciiTheme="minorHAnsi" w:hAnsiTheme="minorHAnsi" w:cstheme="minorHAnsi"/>
          <w:bCs/>
          <w:sz w:val="22"/>
          <w:szCs w:val="22"/>
        </w:rPr>
        <w:t xml:space="preserve"> 1.213.834,42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 €, što je ostvarenje od </w:t>
      </w:r>
      <w:r w:rsidR="00EA68C8">
        <w:rPr>
          <w:rFonts w:asciiTheme="minorHAnsi" w:hAnsiTheme="minorHAnsi" w:cstheme="minorHAnsi"/>
          <w:bCs/>
          <w:sz w:val="22"/>
          <w:szCs w:val="22"/>
        </w:rPr>
        <w:t>44,84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 %</w:t>
      </w:r>
      <w:r w:rsidR="007C6A0A">
        <w:rPr>
          <w:rFonts w:asciiTheme="minorHAnsi" w:hAnsiTheme="minorHAnsi" w:cstheme="minorHAnsi"/>
          <w:bCs/>
          <w:sz w:val="22"/>
          <w:szCs w:val="22"/>
        </w:rPr>
        <w:t>, kako je prikazano u Tablici 1.</w:t>
      </w:r>
      <w:r w:rsidR="00EC4BD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212322" w14:textId="09176D87" w:rsidR="00497A18" w:rsidRDefault="00EC4BD3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 odnosu na izvršenje za isto razdoblje prethodne godine primjećuje se povećanje</w:t>
      </w:r>
      <w:r w:rsidR="00EA68C8">
        <w:rPr>
          <w:rFonts w:asciiTheme="minorHAnsi" w:hAnsiTheme="minorHAnsi" w:cstheme="minorHAnsi"/>
          <w:bCs/>
          <w:sz w:val="22"/>
          <w:szCs w:val="22"/>
        </w:rPr>
        <w:t xml:space="preserve"> ukupno</w:t>
      </w:r>
      <w:r>
        <w:rPr>
          <w:rFonts w:asciiTheme="minorHAnsi" w:hAnsiTheme="minorHAnsi" w:cstheme="minorHAnsi"/>
          <w:bCs/>
          <w:sz w:val="22"/>
          <w:szCs w:val="22"/>
        </w:rPr>
        <w:t xml:space="preserve"> ostvarenih prihoda, razlog tome je povećanje osnovice</w:t>
      </w:r>
      <w:r w:rsidR="00D608E5">
        <w:rPr>
          <w:rFonts w:asciiTheme="minorHAnsi" w:hAnsiTheme="minorHAnsi" w:cstheme="minorHAnsi"/>
          <w:bCs/>
          <w:sz w:val="22"/>
          <w:szCs w:val="22"/>
        </w:rPr>
        <w:t xml:space="preserve"> i koeficijenata </w:t>
      </w:r>
      <w:r>
        <w:rPr>
          <w:rFonts w:asciiTheme="minorHAnsi" w:hAnsiTheme="minorHAnsi" w:cstheme="minorHAnsi"/>
          <w:bCs/>
          <w:sz w:val="22"/>
          <w:szCs w:val="22"/>
        </w:rPr>
        <w:t>za isplatu plaća zaposlenima</w:t>
      </w:r>
      <w:r w:rsidR="0028029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674CE">
        <w:rPr>
          <w:rFonts w:asciiTheme="minorHAnsi" w:hAnsiTheme="minorHAnsi" w:cstheme="minorHAnsi"/>
          <w:bCs/>
          <w:sz w:val="22"/>
          <w:szCs w:val="22"/>
        </w:rPr>
        <w:t xml:space="preserve">te radovi </w:t>
      </w:r>
      <w:r w:rsidR="00280292">
        <w:rPr>
          <w:rFonts w:asciiTheme="minorHAnsi" w:hAnsiTheme="minorHAnsi" w:cstheme="minorHAnsi"/>
          <w:bCs/>
          <w:sz w:val="22"/>
          <w:szCs w:val="22"/>
        </w:rPr>
        <w:t>na</w:t>
      </w:r>
      <w:r w:rsidR="006674CE">
        <w:rPr>
          <w:rFonts w:asciiTheme="minorHAnsi" w:hAnsiTheme="minorHAnsi" w:cstheme="minorHAnsi"/>
          <w:bCs/>
          <w:sz w:val="22"/>
          <w:szCs w:val="22"/>
        </w:rPr>
        <w:t xml:space="preserve"> sanaciji </w:t>
      </w:r>
      <w:r w:rsidR="00782964">
        <w:rPr>
          <w:rFonts w:asciiTheme="minorHAnsi" w:hAnsiTheme="minorHAnsi" w:cstheme="minorHAnsi"/>
          <w:bCs/>
          <w:sz w:val="22"/>
          <w:szCs w:val="22"/>
        </w:rPr>
        <w:t xml:space="preserve">i uređenju </w:t>
      </w:r>
      <w:r w:rsidR="006674CE">
        <w:rPr>
          <w:rFonts w:asciiTheme="minorHAnsi" w:hAnsiTheme="minorHAnsi" w:cstheme="minorHAnsi"/>
          <w:bCs/>
          <w:sz w:val="22"/>
          <w:szCs w:val="22"/>
        </w:rPr>
        <w:t>košarkaškog igrališta kod matične škole u Krapini i ograde kod PŠ Donja Šemnica.</w:t>
      </w:r>
    </w:p>
    <w:p w14:paraId="08F9C12C" w14:textId="7585B123" w:rsidR="007C6A0A" w:rsidRDefault="007C6A0A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financiranje rashoda poslovanja u 202</w:t>
      </w:r>
      <w:r w:rsidR="00E06779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godini planirano je </w:t>
      </w:r>
      <w:r w:rsidR="00A26FAE">
        <w:rPr>
          <w:rFonts w:asciiTheme="minorHAnsi" w:hAnsiTheme="minorHAnsi" w:cstheme="minorHAnsi"/>
          <w:bCs/>
          <w:sz w:val="22"/>
          <w:szCs w:val="22"/>
        </w:rPr>
        <w:t xml:space="preserve">utrošiti </w:t>
      </w:r>
      <w:r w:rsidR="00663578">
        <w:rPr>
          <w:rFonts w:asciiTheme="minorHAnsi" w:hAnsiTheme="minorHAnsi" w:cstheme="minorHAnsi"/>
          <w:bCs/>
          <w:sz w:val="22"/>
          <w:szCs w:val="22"/>
        </w:rPr>
        <w:t>2.</w:t>
      </w:r>
      <w:r w:rsidR="00E06779">
        <w:rPr>
          <w:rFonts w:asciiTheme="minorHAnsi" w:hAnsiTheme="minorHAnsi" w:cstheme="minorHAnsi"/>
          <w:bCs/>
          <w:sz w:val="22"/>
          <w:szCs w:val="22"/>
        </w:rPr>
        <w:t>300,16</w:t>
      </w:r>
      <w:r w:rsidR="00A26FAE">
        <w:rPr>
          <w:rFonts w:asciiTheme="minorHAnsi" w:hAnsiTheme="minorHAnsi" w:cstheme="minorHAnsi"/>
          <w:bCs/>
          <w:sz w:val="22"/>
          <w:szCs w:val="22"/>
        </w:rPr>
        <w:t xml:space="preserve"> € viška prihoda iz prethodne godine.</w:t>
      </w:r>
    </w:p>
    <w:p w14:paraId="74D61895" w14:textId="77777777" w:rsidR="006674CE" w:rsidRDefault="006674CE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680213" w14:textId="2AB89570" w:rsidR="003B31D6" w:rsidRPr="00537E62" w:rsidRDefault="003B31D6" w:rsidP="00421087">
      <w:pPr>
        <w:spacing w:line="360" w:lineRule="auto"/>
        <w:jc w:val="both"/>
        <w:rPr>
          <w:rFonts w:asciiTheme="minorHAnsi" w:hAnsiTheme="minorHAnsi" w:cstheme="minorHAnsi"/>
          <w:b/>
          <w:bCs/>
          <w:lang w:eastAsia="hr-HR"/>
        </w:rPr>
      </w:pPr>
      <w:r w:rsidRPr="00537E62">
        <w:rPr>
          <w:rFonts w:asciiTheme="minorHAnsi" w:hAnsiTheme="minorHAnsi" w:cstheme="minorHAnsi"/>
          <w:bCs/>
          <w:lang w:eastAsia="hr-HR"/>
        </w:rPr>
        <w:t>Tablica 1.</w:t>
      </w:r>
      <w:r w:rsidRPr="00537E62">
        <w:rPr>
          <w:rFonts w:asciiTheme="minorHAnsi" w:hAnsiTheme="minorHAnsi" w:cstheme="minorHAnsi"/>
          <w:b/>
          <w:bCs/>
          <w:lang w:eastAsia="hr-HR"/>
        </w:rPr>
        <w:t xml:space="preserve"> </w:t>
      </w:r>
      <w:r w:rsidRPr="00537E62">
        <w:rPr>
          <w:rFonts w:asciiTheme="minorHAnsi" w:hAnsiTheme="minorHAnsi" w:cstheme="minorHAnsi"/>
          <w:bCs/>
          <w:lang w:eastAsia="hr-HR"/>
        </w:rPr>
        <w:t xml:space="preserve">Usporedba planiranih i ostvarenih </w:t>
      </w:r>
      <w:r w:rsidRPr="00537E62">
        <w:rPr>
          <w:rFonts w:asciiTheme="minorHAnsi" w:hAnsiTheme="minorHAnsi" w:cstheme="minorHAnsi"/>
          <w:lang w:eastAsia="hr-HR"/>
        </w:rPr>
        <w:t>prihoda i primitaka za 202</w:t>
      </w:r>
      <w:r w:rsidR="00E06779">
        <w:rPr>
          <w:rFonts w:asciiTheme="minorHAnsi" w:hAnsiTheme="minorHAnsi" w:cstheme="minorHAnsi"/>
          <w:lang w:eastAsia="hr-HR"/>
        </w:rPr>
        <w:t>5</w:t>
      </w:r>
      <w:r w:rsidRPr="00537E62">
        <w:rPr>
          <w:rFonts w:asciiTheme="minorHAnsi" w:hAnsiTheme="minorHAnsi" w:cstheme="minorHAnsi"/>
          <w:lang w:eastAsia="hr-HR"/>
        </w:rPr>
        <w:t>.godinu</w:t>
      </w:r>
    </w:p>
    <w:tbl>
      <w:tblPr>
        <w:tblW w:w="9160" w:type="dxa"/>
        <w:tblInd w:w="-5" w:type="dxa"/>
        <w:tblLook w:val="04A0" w:firstRow="1" w:lastRow="0" w:firstColumn="1" w:lastColumn="0" w:noHBand="0" w:noVBand="1"/>
      </w:tblPr>
      <w:tblGrid>
        <w:gridCol w:w="4441"/>
        <w:gridCol w:w="1280"/>
        <w:gridCol w:w="1287"/>
        <w:gridCol w:w="1071"/>
        <w:gridCol w:w="1081"/>
      </w:tblGrid>
      <w:tr w:rsidR="003B31D6" w:rsidRPr="00537E62" w14:paraId="49C8EF3E" w14:textId="77777777" w:rsidTr="00E673D4">
        <w:trPr>
          <w:cantSplit/>
          <w:trHeight w:val="52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E0E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Prihodi/primici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00B" w14:textId="551B9805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Planirani iznos za 202</w:t>
            </w:r>
            <w:r w:rsidR="00E06779">
              <w:rPr>
                <w:rFonts w:asciiTheme="minorHAnsi" w:hAnsiTheme="minorHAnsi" w:cstheme="minorHAnsi"/>
                <w:lang w:eastAsia="hr-HR"/>
              </w:rPr>
              <w:t>5</w:t>
            </w:r>
            <w:r w:rsidRPr="00537E62">
              <w:rPr>
                <w:rFonts w:asciiTheme="minorHAnsi" w:hAnsiTheme="minorHAnsi" w:cstheme="minorHAnsi"/>
                <w:lang w:eastAsia="hr-HR"/>
              </w:rPr>
              <w:t>.</w:t>
            </w:r>
            <w:r w:rsidR="00E141A4">
              <w:rPr>
                <w:rFonts w:asciiTheme="minorHAnsi" w:hAnsiTheme="minorHAnsi" w:cstheme="minorHAnsi"/>
                <w:lang w:eastAsia="hr-HR"/>
              </w:rPr>
              <w:t>god.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17B" w14:textId="297B8F1B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Ostvarenje  01.01.</w:t>
            </w:r>
            <w:r w:rsidR="00D83230" w:rsidRPr="00537E62">
              <w:rPr>
                <w:rFonts w:asciiTheme="minorHAnsi" w:hAnsiTheme="minorHAnsi" w:cstheme="minorHAnsi"/>
                <w:lang w:eastAsia="hr-HR"/>
              </w:rPr>
              <w:t>202</w:t>
            </w:r>
            <w:r w:rsidR="00E141A4">
              <w:rPr>
                <w:rFonts w:asciiTheme="minorHAnsi" w:hAnsiTheme="minorHAnsi" w:cstheme="minorHAnsi"/>
                <w:lang w:eastAsia="hr-HR"/>
              </w:rPr>
              <w:t>4</w:t>
            </w:r>
            <w:r w:rsidR="00D83230" w:rsidRPr="00537E62">
              <w:rPr>
                <w:rFonts w:asciiTheme="minorHAnsi" w:hAnsiTheme="minorHAnsi" w:cstheme="minorHAnsi"/>
                <w:lang w:eastAsia="hr-HR"/>
              </w:rPr>
              <w:t>.</w:t>
            </w:r>
            <w:r w:rsidRPr="00537E62">
              <w:rPr>
                <w:rFonts w:asciiTheme="minorHAnsi" w:hAnsiTheme="minorHAnsi" w:cstheme="minorHAnsi"/>
                <w:lang w:eastAsia="hr-HR"/>
              </w:rPr>
              <w:t>-3</w:t>
            </w:r>
            <w:r w:rsidR="00E06779">
              <w:rPr>
                <w:rFonts w:asciiTheme="minorHAnsi" w:hAnsiTheme="minorHAnsi" w:cstheme="minorHAnsi"/>
                <w:lang w:eastAsia="hr-HR"/>
              </w:rPr>
              <w:t>0</w:t>
            </w:r>
            <w:r w:rsidRPr="00537E62">
              <w:rPr>
                <w:rFonts w:asciiTheme="minorHAnsi" w:hAnsiTheme="minorHAnsi" w:cstheme="minorHAnsi"/>
                <w:lang w:eastAsia="hr-HR"/>
              </w:rPr>
              <w:t>.</w:t>
            </w:r>
            <w:r w:rsidR="00E06779">
              <w:rPr>
                <w:rFonts w:asciiTheme="minorHAnsi" w:hAnsiTheme="minorHAnsi" w:cstheme="minorHAnsi"/>
                <w:lang w:eastAsia="hr-HR"/>
              </w:rPr>
              <w:t>06</w:t>
            </w:r>
            <w:r w:rsidRPr="00537E62">
              <w:rPr>
                <w:rFonts w:asciiTheme="minorHAnsi" w:hAnsiTheme="minorHAnsi" w:cstheme="minorHAnsi"/>
                <w:lang w:eastAsia="hr-HR"/>
              </w:rPr>
              <w:t>.202</w:t>
            </w:r>
            <w:r w:rsidR="00E06779">
              <w:rPr>
                <w:rFonts w:asciiTheme="minorHAnsi" w:hAnsiTheme="minorHAnsi" w:cstheme="minorHAnsi"/>
                <w:lang w:eastAsia="hr-HR"/>
              </w:rPr>
              <w:t>5</w:t>
            </w:r>
            <w:r w:rsidRPr="00537E62">
              <w:rPr>
                <w:rFonts w:asciiTheme="minorHAnsi" w:hAnsiTheme="minorHAnsi" w:cstheme="minorHAnsi"/>
                <w:lang w:eastAsia="hr-HR"/>
              </w:rPr>
              <w:t xml:space="preserve">.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392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Indeks ostvarenja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A37F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Udio u ostvarenju</w:t>
            </w:r>
          </w:p>
        </w:tc>
      </w:tr>
      <w:tr w:rsidR="00700BE5" w:rsidRPr="00537E62" w14:paraId="2A7D82A1" w14:textId="77777777" w:rsidTr="00E673D4">
        <w:trPr>
          <w:cantSplit/>
          <w:trHeight w:val="52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E887" w14:textId="77777777" w:rsidR="00700BE5" w:rsidRPr="00537E62" w:rsidRDefault="00700BE5" w:rsidP="00700BE5">
            <w:pPr>
              <w:rPr>
                <w:rFonts w:asciiTheme="minorHAnsi" w:hAnsiTheme="minorHAnsi" w:cstheme="minorHAnsi"/>
                <w:b/>
                <w:lang w:eastAsia="hr-HR"/>
              </w:rPr>
            </w:pPr>
            <w:r w:rsidRPr="00537E62">
              <w:rPr>
                <w:rFonts w:asciiTheme="minorHAnsi" w:hAnsiTheme="minorHAnsi" w:cstheme="minorHAnsi"/>
                <w:b/>
                <w:lang w:eastAsia="hr-HR"/>
              </w:rPr>
              <w:t>Prihodi poslovanja-ukupno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5610" w14:textId="1B25E21E" w:rsidR="00700BE5" w:rsidRPr="00537E62" w:rsidRDefault="000D1536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2.</w:t>
            </w:r>
            <w:r w:rsidR="006674CE">
              <w:rPr>
                <w:rFonts w:asciiTheme="minorHAnsi" w:hAnsiTheme="minorHAnsi" w:cstheme="minorHAnsi"/>
                <w:b/>
                <w:lang w:eastAsia="hr-HR"/>
              </w:rPr>
              <w:t>707.298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878C" w14:textId="0D9E05A4" w:rsidR="00700BE5" w:rsidRPr="00537E62" w:rsidRDefault="006674CE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1.213.834,42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B044" w14:textId="6CADFB14" w:rsidR="00700BE5" w:rsidRPr="00537E62" w:rsidRDefault="00C63635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44,84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1990" w14:textId="77777777" w:rsidR="00700BE5" w:rsidRPr="00537E62" w:rsidRDefault="00700BE5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 w:rsidRPr="00537E62">
              <w:rPr>
                <w:rFonts w:asciiTheme="minorHAnsi" w:hAnsiTheme="minorHAnsi" w:cstheme="minorHAnsi"/>
                <w:b/>
                <w:lang w:eastAsia="hr-HR"/>
              </w:rPr>
              <w:t>100</w:t>
            </w:r>
          </w:p>
        </w:tc>
      </w:tr>
      <w:tr w:rsidR="00700BE5" w:rsidRPr="00537E62" w14:paraId="149CAFDE" w14:textId="77777777" w:rsidTr="00E673D4">
        <w:trPr>
          <w:trHeight w:val="276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21BF" w14:textId="62781B85" w:rsidR="00700BE5" w:rsidRPr="00537E62" w:rsidRDefault="00490321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</w:t>
            </w:r>
            <w:r w:rsidR="00700BE5" w:rsidRPr="00537E62">
              <w:rPr>
                <w:rFonts w:asciiTheme="minorHAnsi" w:hAnsiTheme="minorHAnsi" w:cstheme="minorHAnsi"/>
                <w:lang w:eastAsia="hr-HR"/>
              </w:rPr>
              <w:t>omoći proračunskim korisnicima iz proračuna koji im nije nadležan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6C42" w14:textId="35773AD5" w:rsidR="00700BE5" w:rsidRPr="00537E62" w:rsidRDefault="00B34B0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2.</w:t>
            </w:r>
            <w:r w:rsidR="006674CE">
              <w:rPr>
                <w:rFonts w:asciiTheme="minorHAnsi" w:hAnsiTheme="minorHAnsi" w:cstheme="minorHAnsi"/>
                <w:lang w:eastAsia="hr-HR"/>
              </w:rPr>
              <w:t>372.000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11F2" w14:textId="67885151" w:rsidR="00700BE5" w:rsidRPr="00537E62" w:rsidRDefault="006674C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1.064.484,11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F08" w14:textId="7CF59F06" w:rsidR="00700BE5" w:rsidRPr="00537E62" w:rsidRDefault="00C63635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44,88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0FA2" w14:textId="11B2370E" w:rsidR="00700BE5" w:rsidRPr="00537E62" w:rsidRDefault="00AF225E" w:rsidP="007C6A0A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87,</w:t>
            </w:r>
            <w:r w:rsidR="00C63635">
              <w:rPr>
                <w:rFonts w:asciiTheme="minorHAnsi" w:hAnsiTheme="minorHAnsi" w:cstheme="minorHAnsi"/>
                <w:lang w:eastAsia="hr-HR"/>
              </w:rPr>
              <w:t>70</w:t>
            </w:r>
          </w:p>
        </w:tc>
      </w:tr>
      <w:tr w:rsidR="00700BE5" w:rsidRPr="00537E62" w14:paraId="3CF2C183" w14:textId="77777777" w:rsidTr="00E673D4">
        <w:trPr>
          <w:trHeight w:val="55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8E6B" w14:textId="281D2B67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financijske imovine - Kamate na oročena sredstva i depozite po viđenju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969B" w14:textId="0F1CEE88" w:rsidR="00700BE5" w:rsidRPr="00537E62" w:rsidRDefault="006674C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9C30" w14:textId="0FBC92E3" w:rsidR="00700BE5" w:rsidRPr="00537E62" w:rsidRDefault="006674CE" w:rsidP="003A147E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2,64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BC26" w14:textId="023058EA" w:rsidR="00700BE5" w:rsidRPr="00537E62" w:rsidRDefault="00C63635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13,20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810" w14:textId="459A31C5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</w:tr>
      <w:tr w:rsidR="00700BE5" w:rsidRPr="00537E62" w14:paraId="314A08AE" w14:textId="77777777" w:rsidTr="00E673D4">
        <w:trPr>
          <w:trHeight w:val="55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A52B" w14:textId="7E1D5798" w:rsidR="00700BE5" w:rsidRPr="00537E62" w:rsidRDefault="00700BE5" w:rsidP="00490321">
            <w:pPr>
              <w:rPr>
                <w:rFonts w:asciiTheme="minorHAnsi" w:hAnsiTheme="minorHAnsi" w:cstheme="minorHAnsi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 xml:space="preserve">Prihodi po posebnim propisima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2FA5" w14:textId="15EFF08E" w:rsidR="00700BE5" w:rsidRPr="00537E62" w:rsidRDefault="006674C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30.10</w:t>
            </w:r>
            <w:r w:rsidR="00280292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C2A6" w14:textId="1EA96B2D" w:rsidR="00700BE5" w:rsidRPr="00537E62" w:rsidRDefault="006674C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18.042,29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6838" w14:textId="34420271" w:rsidR="00700BE5" w:rsidRPr="00537E62" w:rsidRDefault="00C63635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59,94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0762" w14:textId="1F059AD2" w:rsidR="00700BE5" w:rsidRPr="00537E62" w:rsidRDefault="00C63635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1,49</w:t>
            </w:r>
          </w:p>
        </w:tc>
      </w:tr>
      <w:tr w:rsidR="00700BE5" w:rsidRPr="00537E62" w14:paraId="74E487AE" w14:textId="77777777" w:rsidTr="00E673D4">
        <w:trPr>
          <w:trHeight w:val="55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B908" w14:textId="2FB05FC2" w:rsidR="00700BE5" w:rsidRPr="00537E62" w:rsidRDefault="00700BE5" w:rsidP="00490321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prodaje proizvoda i roba te pruženih usluga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15C4" w14:textId="4C44BB0D" w:rsidR="00700BE5" w:rsidRPr="00537E62" w:rsidRDefault="00280292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</w:t>
            </w:r>
            <w:r w:rsidR="00770E5C">
              <w:rPr>
                <w:rFonts w:asciiTheme="minorHAnsi" w:hAnsiTheme="minorHAnsi" w:cstheme="minorHAnsi"/>
                <w:lang w:eastAsia="hr-HR"/>
              </w:rPr>
              <w:t>.</w:t>
            </w:r>
            <w:r w:rsidR="006674CE">
              <w:rPr>
                <w:rFonts w:asciiTheme="minorHAnsi" w:hAnsiTheme="minorHAnsi" w:cstheme="minorHAnsi"/>
                <w:lang w:eastAsia="hr-HR"/>
              </w:rPr>
              <w:t>0</w:t>
            </w:r>
            <w:r w:rsidR="00770E5C">
              <w:rPr>
                <w:rFonts w:asciiTheme="minorHAnsi" w:hAnsiTheme="minorHAnsi" w:cstheme="minorHAnsi"/>
                <w:lang w:eastAsia="hr-HR"/>
              </w:rPr>
              <w:t>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9F9" w14:textId="6E7C1019" w:rsidR="00700BE5" w:rsidRPr="00537E62" w:rsidRDefault="006674C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3.057,20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6F62" w14:textId="692EBB56" w:rsidR="00700BE5" w:rsidRPr="00537E62" w:rsidRDefault="006674C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33,97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0488" w14:textId="459E461E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</w:t>
            </w:r>
            <w:r w:rsidR="00C63635">
              <w:rPr>
                <w:rFonts w:asciiTheme="minorHAnsi" w:hAnsiTheme="minorHAnsi" w:cstheme="minorHAnsi"/>
                <w:lang w:eastAsia="hr-HR"/>
              </w:rPr>
              <w:t>25</w:t>
            </w:r>
          </w:p>
        </w:tc>
      </w:tr>
      <w:tr w:rsidR="00700BE5" w:rsidRPr="00537E62" w14:paraId="484E6CAD" w14:textId="77777777" w:rsidTr="00E673D4">
        <w:trPr>
          <w:trHeight w:val="55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619D7" w14:textId="1EF6E330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Donacije od pravnih i fizičkih osoba</w:t>
            </w:r>
            <w:r w:rsidR="00490321" w:rsidRPr="00537E62">
              <w:rPr>
                <w:rFonts w:asciiTheme="minorHAnsi" w:hAnsiTheme="minorHAnsi" w:cstheme="minorHAnsi"/>
                <w:lang w:eastAsia="hr-HR"/>
              </w:rPr>
              <w:t xml:space="preserve"> izvan općeg proračuna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4237" w14:textId="2527C86D" w:rsidR="00700BE5" w:rsidRPr="00537E62" w:rsidRDefault="006674C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3496" w14:textId="26D70E78" w:rsidR="00700BE5" w:rsidRPr="00537E62" w:rsidRDefault="006674C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418,60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3B08" w14:textId="0AB79E0F" w:rsidR="00700BE5" w:rsidRPr="00537E62" w:rsidRDefault="006674CE" w:rsidP="007C6A0A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83,72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61E5" w14:textId="71964141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</w:t>
            </w:r>
            <w:r w:rsidR="00C63635">
              <w:rPr>
                <w:rFonts w:asciiTheme="minorHAnsi" w:hAnsiTheme="minorHAnsi" w:cstheme="minorHAnsi"/>
                <w:lang w:eastAsia="hr-HR"/>
              </w:rPr>
              <w:t>03</w:t>
            </w:r>
          </w:p>
        </w:tc>
      </w:tr>
      <w:tr w:rsidR="00700BE5" w:rsidRPr="00537E62" w14:paraId="07BFEE42" w14:textId="77777777" w:rsidTr="00E673D4">
        <w:trPr>
          <w:trHeight w:val="55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0490" w14:textId="106C11B7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C85F" w14:textId="03D3BD4A" w:rsidR="00700BE5" w:rsidRPr="00537E62" w:rsidRDefault="001A26D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</w:t>
            </w:r>
            <w:r w:rsidR="006674CE">
              <w:rPr>
                <w:rFonts w:asciiTheme="minorHAnsi" w:hAnsiTheme="minorHAnsi" w:cstheme="minorHAnsi"/>
                <w:lang w:eastAsia="hr-HR"/>
              </w:rPr>
              <w:t>95.576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F053" w14:textId="69FF3564" w:rsidR="00700BE5" w:rsidRPr="00537E62" w:rsidRDefault="006674C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127.778,82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9E42" w14:textId="275684AB" w:rsidR="00700BE5" w:rsidRPr="00537E62" w:rsidRDefault="006674C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43,23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186E" w14:textId="63027C27" w:rsidR="00700BE5" w:rsidRPr="00537E62" w:rsidRDefault="00E673D4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10,</w:t>
            </w:r>
            <w:r w:rsidR="00C63635">
              <w:rPr>
                <w:rFonts w:asciiTheme="minorHAnsi" w:hAnsiTheme="minorHAnsi" w:cstheme="minorHAnsi"/>
                <w:lang w:eastAsia="hr-HR"/>
              </w:rPr>
              <w:t>53</w:t>
            </w:r>
          </w:p>
        </w:tc>
      </w:tr>
      <w:tr w:rsidR="00DC3CD8" w:rsidRPr="00537E62" w14:paraId="5E4EE673" w14:textId="77777777" w:rsidTr="00E673D4">
        <w:trPr>
          <w:trHeight w:val="552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F705" w14:textId="29051512" w:rsidR="00DC3CD8" w:rsidRPr="00537E62" w:rsidRDefault="00DC3CD8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prodaje stambenih objekata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424D" w14:textId="606CCF5A" w:rsidR="00DC3CD8" w:rsidRPr="00537E62" w:rsidRDefault="00DC3CD8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4264" w14:textId="1EB5E95B" w:rsidR="00DC3CD8" w:rsidRPr="00537E62" w:rsidRDefault="006674C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50,76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B592" w14:textId="568B1F3A" w:rsidR="00DC3CD8" w:rsidRPr="00537E62" w:rsidRDefault="006674C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49,76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6134" w14:textId="5FBC0D6F" w:rsidR="00DC3CD8" w:rsidRPr="00537E62" w:rsidRDefault="00CC5C1F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</w:t>
            </w:r>
            <w:r w:rsidR="00214B5E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</w:tr>
    </w:tbl>
    <w:p w14:paraId="0BAC3199" w14:textId="77777777" w:rsidR="003B31D6" w:rsidRDefault="003B31D6" w:rsidP="003B31D6">
      <w:pPr>
        <w:jc w:val="both"/>
        <w:rPr>
          <w:b/>
          <w:bCs/>
          <w:lang w:eastAsia="hr-HR"/>
        </w:rPr>
      </w:pPr>
    </w:p>
    <w:p w14:paraId="67F78176" w14:textId="467D077F" w:rsidR="007C6A0A" w:rsidRDefault="007C6A0A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Najveći udio u ostvarenju prihoda poslovanja su tekuće pomoći proračunskim korisnicima iz proračuna koji im nije nadležan, a iz kojih se</w:t>
      </w:r>
      <w:r w:rsidR="00AD77A3">
        <w:rPr>
          <w:rFonts w:asciiTheme="minorHAnsi" w:hAnsiTheme="minorHAnsi" w:cstheme="minorHAnsi"/>
          <w:bCs/>
          <w:sz w:val="22"/>
          <w:szCs w:val="22"/>
        </w:rPr>
        <w:t xml:space="preserve"> iz državnog proračuna</w:t>
      </w:r>
      <w:r>
        <w:rPr>
          <w:rFonts w:asciiTheme="minorHAnsi" w:hAnsiTheme="minorHAnsi" w:cstheme="minorHAnsi"/>
          <w:bCs/>
          <w:sz w:val="22"/>
          <w:szCs w:val="22"/>
        </w:rPr>
        <w:t xml:space="preserve"> financiraju troškovi plaća i ostalih materijalnih prava zap</w:t>
      </w:r>
      <w:r w:rsidR="0034024D">
        <w:rPr>
          <w:rFonts w:asciiTheme="minorHAnsi" w:hAnsiTheme="minorHAnsi" w:cstheme="minorHAnsi"/>
          <w:bCs/>
          <w:sz w:val="22"/>
          <w:szCs w:val="22"/>
        </w:rPr>
        <w:t>oslenika, te od siječnja 2023.</w:t>
      </w:r>
      <w:r w:rsidR="004F49C9">
        <w:rPr>
          <w:rFonts w:asciiTheme="minorHAnsi" w:hAnsiTheme="minorHAnsi" w:cstheme="minorHAnsi"/>
          <w:bCs/>
          <w:sz w:val="22"/>
          <w:szCs w:val="22"/>
        </w:rPr>
        <w:t>god.</w:t>
      </w:r>
      <w:r w:rsidR="0034024D">
        <w:rPr>
          <w:rFonts w:asciiTheme="minorHAnsi" w:hAnsiTheme="minorHAnsi" w:cstheme="minorHAnsi"/>
          <w:bCs/>
          <w:sz w:val="22"/>
          <w:szCs w:val="22"/>
        </w:rPr>
        <w:t xml:space="preserve"> O</w:t>
      </w:r>
      <w:r>
        <w:rPr>
          <w:rFonts w:asciiTheme="minorHAnsi" w:hAnsiTheme="minorHAnsi" w:cstheme="minorHAnsi"/>
          <w:bCs/>
          <w:sz w:val="22"/>
          <w:szCs w:val="22"/>
        </w:rPr>
        <w:t>dlukom Vlade</w:t>
      </w:r>
      <w:r w:rsidR="0034024D">
        <w:rPr>
          <w:rFonts w:asciiTheme="minorHAnsi" w:hAnsiTheme="minorHAnsi" w:cstheme="minorHAnsi"/>
          <w:bCs/>
          <w:sz w:val="22"/>
          <w:szCs w:val="22"/>
        </w:rPr>
        <w:t xml:space="preserve"> RH</w:t>
      </w:r>
      <w:r>
        <w:rPr>
          <w:rFonts w:asciiTheme="minorHAnsi" w:hAnsiTheme="minorHAnsi" w:cstheme="minorHAnsi"/>
          <w:bCs/>
          <w:sz w:val="22"/>
          <w:szCs w:val="22"/>
        </w:rPr>
        <w:t xml:space="preserve"> i troškovi prehrane za sve učenike škole</w:t>
      </w:r>
      <w:r w:rsidR="00D23F52">
        <w:rPr>
          <w:rFonts w:asciiTheme="minorHAnsi" w:hAnsiTheme="minorHAnsi" w:cstheme="minorHAnsi"/>
          <w:bCs/>
          <w:sz w:val="22"/>
          <w:szCs w:val="22"/>
        </w:rPr>
        <w:t xml:space="preserve"> te troškovi nabave higijenskih potrepština za djevojčice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4F49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77A3">
        <w:rPr>
          <w:rFonts w:asciiTheme="minorHAnsi" w:hAnsiTheme="minorHAnsi" w:cstheme="minorHAnsi"/>
          <w:bCs/>
          <w:sz w:val="22"/>
          <w:szCs w:val="22"/>
        </w:rPr>
        <w:t>Iz pomoći se iz proračuna Krapinsko-zagorske županije financiraju i plaća za pomoćnik</w:t>
      </w:r>
      <w:r w:rsidR="004F49C9">
        <w:rPr>
          <w:rFonts w:asciiTheme="minorHAnsi" w:hAnsiTheme="minorHAnsi" w:cstheme="minorHAnsi"/>
          <w:bCs/>
          <w:sz w:val="22"/>
          <w:szCs w:val="22"/>
        </w:rPr>
        <w:t>e</w:t>
      </w:r>
      <w:r w:rsidR="00AD77A3">
        <w:rPr>
          <w:rFonts w:asciiTheme="minorHAnsi" w:hAnsiTheme="minorHAnsi" w:cstheme="minorHAnsi"/>
          <w:bCs/>
          <w:sz w:val="22"/>
          <w:szCs w:val="22"/>
        </w:rPr>
        <w:t xml:space="preserve"> u nastavi,</w:t>
      </w:r>
      <w:r w:rsidR="00D23F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77A3">
        <w:rPr>
          <w:rFonts w:asciiTheme="minorHAnsi" w:hAnsiTheme="minorHAnsi" w:cstheme="minorHAnsi"/>
          <w:bCs/>
          <w:sz w:val="22"/>
          <w:szCs w:val="22"/>
        </w:rPr>
        <w:t>zimske i proljetne radionice za učenike</w:t>
      </w:r>
      <w:r w:rsidR="0008205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D77A3">
        <w:rPr>
          <w:rFonts w:asciiTheme="minorHAnsi" w:hAnsiTheme="minorHAnsi" w:cstheme="minorHAnsi"/>
          <w:bCs/>
          <w:sz w:val="22"/>
          <w:szCs w:val="22"/>
        </w:rPr>
        <w:t>naknade mentorima i članovima županijskih povjerenstava za županijska natjecanja</w:t>
      </w:r>
      <w:r w:rsidR="0008205D">
        <w:rPr>
          <w:rFonts w:asciiTheme="minorHAnsi" w:hAnsiTheme="minorHAnsi" w:cstheme="minorHAnsi"/>
          <w:bCs/>
          <w:sz w:val="22"/>
          <w:szCs w:val="22"/>
        </w:rPr>
        <w:t xml:space="preserve"> te se sufinancira nabava radnih bilježnica 50%.</w:t>
      </w:r>
    </w:p>
    <w:p w14:paraId="1AA22984" w14:textId="77777777" w:rsidR="00C70AD8" w:rsidRDefault="00C70AD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1A156C" w14:textId="2585E426" w:rsidR="00C70AD8" w:rsidRDefault="00C70AD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financijske imovine odnose se na prihode od kamata na stanje na žiro računu od PBZ-a.</w:t>
      </w:r>
    </w:p>
    <w:p w14:paraId="0EA645AD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2E85A1" w14:textId="4CC03BBC" w:rsidR="0034024D" w:rsidRDefault="00490321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Prihodi po posebnim propisima </w:t>
      </w:r>
      <w:r w:rsidR="0034024D">
        <w:rPr>
          <w:rFonts w:asciiTheme="minorHAnsi" w:hAnsiTheme="minorHAnsi" w:cstheme="minorHAnsi"/>
          <w:bCs/>
          <w:sz w:val="22"/>
          <w:szCs w:val="22"/>
        </w:rPr>
        <w:t>odnose se na uplaćene prihode od roditelja za financiranje terenskih nastava i izleta učenika te refundaciju štete od osiguranja.</w:t>
      </w:r>
    </w:p>
    <w:p w14:paraId="717E01E4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C92B56" w14:textId="415DC847" w:rsidR="00490321" w:rsidRDefault="0034024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prodaje proizvoda i roba te pruženih usluga odnose se na prihode od iznajmljivanja školskog prostora</w:t>
      </w:r>
      <w:r w:rsidR="00615E4F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E8DE92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903E68" w14:textId="2B8F3D39" w:rsidR="0034024D" w:rsidRDefault="0034024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Donacije od pravnih i fizičkih osoba izvan općeg proračuna odnose se na uplat</w:t>
      </w:r>
      <w:r w:rsidR="006E7442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 xml:space="preserve"> donacija od trgovačkih poduzeća i udruga </w:t>
      </w:r>
      <w:r w:rsidR="00615E4F">
        <w:rPr>
          <w:rFonts w:asciiTheme="minorHAnsi" w:hAnsiTheme="minorHAnsi" w:cstheme="minorHAnsi"/>
          <w:bCs/>
          <w:sz w:val="22"/>
          <w:szCs w:val="22"/>
        </w:rPr>
        <w:t>z</w:t>
      </w:r>
      <w:r w:rsidR="0067775E">
        <w:rPr>
          <w:rFonts w:asciiTheme="minorHAnsi" w:hAnsiTheme="minorHAnsi" w:cstheme="minorHAnsi"/>
          <w:bCs/>
          <w:sz w:val="22"/>
          <w:szCs w:val="22"/>
        </w:rPr>
        <w:t>a</w:t>
      </w:r>
      <w:r w:rsidR="00615E4F">
        <w:rPr>
          <w:rFonts w:asciiTheme="minorHAnsi" w:hAnsiTheme="minorHAnsi" w:cstheme="minorHAnsi"/>
          <w:bCs/>
          <w:sz w:val="22"/>
          <w:szCs w:val="22"/>
        </w:rPr>
        <w:t xml:space="preserve"> nabavu </w:t>
      </w:r>
      <w:r w:rsidR="003F693A">
        <w:rPr>
          <w:rFonts w:asciiTheme="minorHAnsi" w:hAnsiTheme="minorHAnsi" w:cstheme="minorHAnsi"/>
          <w:bCs/>
          <w:sz w:val="22"/>
          <w:szCs w:val="22"/>
        </w:rPr>
        <w:t xml:space="preserve">didaktičkih i nastavnih sredstava i pomagala </w:t>
      </w:r>
      <w:r w:rsidR="0027386E">
        <w:rPr>
          <w:rFonts w:asciiTheme="minorHAnsi" w:hAnsiTheme="minorHAnsi" w:cstheme="minorHAnsi"/>
          <w:bCs/>
          <w:sz w:val="22"/>
          <w:szCs w:val="22"/>
        </w:rPr>
        <w:t>koji pomaži da se nastavni procesi bolje organiziraju i ostvaruju.</w:t>
      </w:r>
    </w:p>
    <w:p w14:paraId="7ECA9F60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FD6AC0" w14:textId="6A366D84" w:rsidR="00CC5C1F" w:rsidRDefault="00A26FAE" w:rsidP="0027386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Prihodi iz nadležnog proračuna odnose se na financiranje decentraliziranih funkcija-redovne djelatnosti proračunskog korisnika te na prihode iznad minimalnog financijskog standarda za financiranje </w:t>
      </w:r>
      <w:r w:rsidR="00DA55E1">
        <w:rPr>
          <w:rFonts w:asciiTheme="minorHAnsi" w:hAnsiTheme="minorHAnsi" w:cstheme="minorHAnsi"/>
          <w:bCs/>
          <w:sz w:val="22"/>
          <w:szCs w:val="22"/>
        </w:rPr>
        <w:t>projekta razmjene učenika naše škole i škole i Njemačke</w:t>
      </w:r>
      <w:r w:rsidR="00332963">
        <w:rPr>
          <w:rFonts w:asciiTheme="minorHAnsi" w:hAnsiTheme="minorHAnsi" w:cstheme="minorHAnsi"/>
          <w:bCs/>
          <w:sz w:val="22"/>
          <w:szCs w:val="22"/>
        </w:rPr>
        <w:t xml:space="preserve">, financiranje radova na sanaciji </w:t>
      </w:r>
      <w:r w:rsidR="00782964">
        <w:rPr>
          <w:rFonts w:asciiTheme="minorHAnsi" w:hAnsiTheme="minorHAnsi" w:cstheme="minorHAnsi"/>
          <w:bCs/>
          <w:sz w:val="22"/>
          <w:szCs w:val="22"/>
        </w:rPr>
        <w:t xml:space="preserve">i uređenju </w:t>
      </w:r>
      <w:r w:rsidR="00EA68C8">
        <w:rPr>
          <w:rFonts w:asciiTheme="minorHAnsi" w:hAnsiTheme="minorHAnsi" w:cstheme="minorHAnsi"/>
          <w:bCs/>
          <w:sz w:val="22"/>
          <w:szCs w:val="22"/>
        </w:rPr>
        <w:t>košarkaškog igrališta kod matične škole u Krapini te ograde kod PŠ Donja Šemnica.</w:t>
      </w:r>
    </w:p>
    <w:p w14:paraId="03901AB5" w14:textId="77777777" w:rsidR="00EA68C8" w:rsidRDefault="00EA68C8" w:rsidP="0027386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845CBF" w14:textId="77777777" w:rsidR="00050A82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prodaje stambenih objekata odnose se na prihode od prodanog stana u područnoj školi.</w:t>
      </w:r>
    </w:p>
    <w:p w14:paraId="5FE9DB6E" w14:textId="77777777" w:rsidR="00E06779" w:rsidRDefault="00E06779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1EE6A6" w14:textId="77777777" w:rsidR="00EA68C8" w:rsidRDefault="00EA68C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4757F0" w14:textId="77777777" w:rsidR="00E06779" w:rsidRDefault="00E06779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E524B1" w14:textId="0376A86B" w:rsidR="00BD3375" w:rsidRDefault="0079737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Grafikon 1. Usporedni prikaz planiranih i ostvarenih prihoda poslovanja 3</w:t>
      </w:r>
      <w:r w:rsidR="00E06779">
        <w:rPr>
          <w:rFonts w:asciiTheme="minorHAnsi" w:hAnsiTheme="minorHAnsi" w:cstheme="minorHAnsi"/>
          <w:bCs/>
          <w:sz w:val="22"/>
          <w:szCs w:val="22"/>
        </w:rPr>
        <w:t>0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E06779">
        <w:rPr>
          <w:rFonts w:asciiTheme="minorHAnsi" w:hAnsiTheme="minorHAnsi" w:cstheme="minorHAnsi"/>
          <w:bCs/>
          <w:sz w:val="22"/>
          <w:szCs w:val="22"/>
        </w:rPr>
        <w:t>06</w:t>
      </w:r>
      <w:r>
        <w:rPr>
          <w:rFonts w:asciiTheme="minorHAnsi" w:hAnsiTheme="minorHAnsi" w:cstheme="minorHAnsi"/>
          <w:bCs/>
          <w:sz w:val="22"/>
          <w:szCs w:val="22"/>
        </w:rPr>
        <w:t>.202</w:t>
      </w:r>
      <w:r w:rsidR="00E06779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DA0643B" w14:textId="7AB9BE23" w:rsidR="00BD3375" w:rsidRDefault="00774350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5E76230A" wp14:editId="2219A48A">
            <wp:extent cx="5486400" cy="3200400"/>
            <wp:effectExtent l="0" t="0" r="0" b="0"/>
            <wp:docPr id="1959386717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C527F7" w14:textId="0E16E35B" w:rsidR="005076C1" w:rsidRDefault="005076C1" w:rsidP="005076C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FDA849" w14:textId="77777777" w:rsidR="00911DE6" w:rsidRDefault="00911DE6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C6B24A" w14:textId="75769A12" w:rsidR="00911DE6" w:rsidRDefault="0079737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Grafikon 2. Udio u ostvarenju prihoda poslovanja </w:t>
      </w:r>
      <w:r w:rsidR="0008205D">
        <w:rPr>
          <w:rFonts w:asciiTheme="minorHAnsi" w:hAnsiTheme="minorHAnsi" w:cstheme="minorHAnsi"/>
          <w:bCs/>
          <w:sz w:val="22"/>
          <w:szCs w:val="22"/>
        </w:rPr>
        <w:t>3</w:t>
      </w:r>
      <w:r w:rsidR="00E06779">
        <w:rPr>
          <w:rFonts w:asciiTheme="minorHAnsi" w:hAnsiTheme="minorHAnsi" w:cstheme="minorHAnsi"/>
          <w:bCs/>
          <w:sz w:val="22"/>
          <w:szCs w:val="22"/>
        </w:rPr>
        <w:t>0</w:t>
      </w:r>
      <w:r w:rsidR="00DA55E1">
        <w:rPr>
          <w:rFonts w:asciiTheme="minorHAnsi" w:hAnsiTheme="minorHAnsi" w:cstheme="minorHAnsi"/>
          <w:bCs/>
          <w:sz w:val="22"/>
          <w:szCs w:val="22"/>
        </w:rPr>
        <w:t>.</w:t>
      </w:r>
      <w:r w:rsidR="00E06779">
        <w:rPr>
          <w:rFonts w:asciiTheme="minorHAnsi" w:hAnsiTheme="minorHAnsi" w:cstheme="minorHAnsi"/>
          <w:bCs/>
          <w:sz w:val="22"/>
          <w:szCs w:val="22"/>
        </w:rPr>
        <w:t>06</w:t>
      </w:r>
      <w:r>
        <w:rPr>
          <w:rFonts w:asciiTheme="minorHAnsi" w:hAnsiTheme="minorHAnsi" w:cstheme="minorHAnsi"/>
          <w:bCs/>
          <w:sz w:val="22"/>
          <w:szCs w:val="22"/>
        </w:rPr>
        <w:t>.202</w:t>
      </w:r>
      <w:r w:rsidR="00E06779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EED02F3" w14:textId="6C018E3A" w:rsidR="00FE3890" w:rsidRDefault="00FE3890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7A61E824" wp14:editId="34347FFB">
            <wp:extent cx="5486400" cy="3200400"/>
            <wp:effectExtent l="0" t="0" r="0" b="0"/>
            <wp:docPr id="429969691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273306" w14:textId="77777777" w:rsidR="00FE3890" w:rsidRDefault="00FE3890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1E7C5E" w14:textId="2822C12C" w:rsidR="00A26FAE" w:rsidRPr="00EC4BD3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2.2. Sredstva viška prihoda iz prethodnih godina</w:t>
      </w:r>
    </w:p>
    <w:p w14:paraId="44962BCB" w14:textId="77777777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1AD825" w14:textId="4B89A886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Iz prethodne godine prenesen je višak prihoda u iznosu </w:t>
      </w:r>
      <w:r w:rsidR="00DA55E1">
        <w:rPr>
          <w:rFonts w:asciiTheme="minorHAnsi" w:hAnsiTheme="minorHAnsi" w:cstheme="minorHAnsi"/>
          <w:bCs/>
          <w:sz w:val="22"/>
          <w:szCs w:val="22"/>
        </w:rPr>
        <w:t>2.3</w:t>
      </w:r>
      <w:r w:rsidR="00E06779">
        <w:rPr>
          <w:rFonts w:asciiTheme="minorHAnsi" w:hAnsiTheme="minorHAnsi" w:cstheme="minorHAnsi"/>
          <w:bCs/>
          <w:sz w:val="22"/>
          <w:szCs w:val="22"/>
        </w:rPr>
        <w:t>00,16</w:t>
      </w:r>
      <w:r>
        <w:rPr>
          <w:rFonts w:asciiTheme="minorHAnsi" w:hAnsiTheme="minorHAnsi" w:cstheme="minorHAnsi"/>
          <w:bCs/>
          <w:sz w:val="22"/>
          <w:szCs w:val="22"/>
        </w:rPr>
        <w:t xml:space="preserve"> € koji</w:t>
      </w:r>
      <w:r w:rsidR="002C4902">
        <w:rPr>
          <w:rFonts w:asciiTheme="minorHAnsi" w:hAnsiTheme="minorHAnsi" w:cstheme="minorHAnsi"/>
          <w:bCs/>
          <w:sz w:val="22"/>
          <w:szCs w:val="22"/>
        </w:rPr>
        <w:t xml:space="preserve"> se</w:t>
      </w:r>
      <w:r>
        <w:rPr>
          <w:rFonts w:asciiTheme="minorHAnsi" w:hAnsiTheme="minorHAnsi" w:cstheme="minorHAnsi"/>
          <w:bCs/>
          <w:sz w:val="22"/>
          <w:szCs w:val="22"/>
        </w:rPr>
        <w:t xml:space="preserve"> Odlukom o raspodjeli rezultata i načinu korištenja viška prihoda u 202</w:t>
      </w:r>
      <w:r w:rsidR="00E06779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godini </w:t>
      </w:r>
      <w:r w:rsidR="006A2485">
        <w:rPr>
          <w:rFonts w:asciiTheme="minorHAnsi" w:hAnsiTheme="minorHAnsi" w:cstheme="minorHAnsi"/>
          <w:bCs/>
          <w:sz w:val="22"/>
          <w:szCs w:val="22"/>
        </w:rPr>
        <w:t xml:space="preserve">donesenom na sjednici Školskog odbora </w:t>
      </w:r>
      <w:r w:rsidR="00D85A6F">
        <w:rPr>
          <w:rFonts w:asciiTheme="minorHAnsi" w:hAnsiTheme="minorHAnsi" w:cstheme="minorHAnsi"/>
          <w:bCs/>
          <w:sz w:val="22"/>
          <w:szCs w:val="22"/>
        </w:rPr>
        <w:t>1</w:t>
      </w:r>
      <w:r w:rsidR="00D921B6">
        <w:rPr>
          <w:rFonts w:asciiTheme="minorHAnsi" w:hAnsiTheme="minorHAnsi" w:cstheme="minorHAnsi"/>
          <w:bCs/>
          <w:sz w:val="22"/>
          <w:szCs w:val="22"/>
        </w:rPr>
        <w:t>9</w:t>
      </w:r>
      <w:r w:rsidR="006A2485">
        <w:rPr>
          <w:rFonts w:asciiTheme="minorHAnsi" w:hAnsiTheme="minorHAnsi" w:cstheme="minorHAnsi"/>
          <w:bCs/>
          <w:sz w:val="22"/>
          <w:szCs w:val="22"/>
        </w:rPr>
        <w:t>.03.202</w:t>
      </w:r>
      <w:r w:rsidR="00E06779">
        <w:rPr>
          <w:rFonts w:asciiTheme="minorHAnsi" w:hAnsiTheme="minorHAnsi" w:cstheme="minorHAnsi"/>
          <w:bCs/>
          <w:sz w:val="22"/>
          <w:szCs w:val="22"/>
        </w:rPr>
        <w:t>5</w:t>
      </w:r>
      <w:r w:rsidR="006A2485">
        <w:rPr>
          <w:rFonts w:asciiTheme="minorHAnsi" w:hAnsiTheme="minorHAnsi" w:cstheme="minorHAnsi"/>
          <w:bCs/>
          <w:sz w:val="22"/>
          <w:szCs w:val="22"/>
        </w:rPr>
        <w:t>. koristi za</w:t>
      </w:r>
      <w:r w:rsidR="00F44D3B">
        <w:rPr>
          <w:rFonts w:asciiTheme="minorHAnsi" w:hAnsiTheme="minorHAnsi" w:cstheme="minorHAnsi"/>
          <w:bCs/>
          <w:sz w:val="22"/>
          <w:szCs w:val="22"/>
        </w:rPr>
        <w:t xml:space="preserve"> usluge tekućeg i investicijskog </w:t>
      </w:r>
      <w:r w:rsidR="001313B4">
        <w:rPr>
          <w:rFonts w:asciiTheme="minorHAnsi" w:hAnsiTheme="minorHAnsi" w:cstheme="minorHAnsi"/>
          <w:bCs/>
          <w:sz w:val="22"/>
          <w:szCs w:val="22"/>
        </w:rPr>
        <w:t xml:space="preserve">održavanja građevinskih objekata, za </w:t>
      </w:r>
      <w:r w:rsidR="006A2485">
        <w:rPr>
          <w:rFonts w:asciiTheme="minorHAnsi" w:hAnsiTheme="minorHAnsi" w:cstheme="minorHAnsi"/>
          <w:bCs/>
          <w:sz w:val="22"/>
          <w:szCs w:val="22"/>
        </w:rPr>
        <w:t>nabavu nastavnih sredstava i pomagala za poboljšanje pedagoškog standarda</w:t>
      </w:r>
      <w:r w:rsidR="00D85A6F">
        <w:rPr>
          <w:rFonts w:asciiTheme="minorHAnsi" w:hAnsiTheme="minorHAnsi" w:cstheme="minorHAnsi"/>
          <w:bCs/>
          <w:sz w:val="22"/>
          <w:szCs w:val="22"/>
        </w:rPr>
        <w:t>, te za nabavu dijagnostičkih sredstava za rad psihologa i za projekt s darovitim učenicima (namjenski primljena sredstva u prošloj godini).</w:t>
      </w:r>
    </w:p>
    <w:p w14:paraId="1E78E087" w14:textId="34B01D8A" w:rsidR="00E70423" w:rsidRDefault="00E70423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Istovremeno je ostvaren i metodološki manjak na izvoru financiranja Pomoći</w:t>
      </w:r>
      <w:r w:rsidR="006C0978">
        <w:rPr>
          <w:rFonts w:asciiTheme="minorHAnsi" w:hAnsiTheme="minorHAnsi" w:cstheme="minorHAnsi"/>
          <w:bCs/>
          <w:sz w:val="22"/>
          <w:szCs w:val="22"/>
        </w:rPr>
        <w:t xml:space="preserve"> u ukupnom iznosu </w:t>
      </w:r>
      <w:r w:rsidR="00D85A6F">
        <w:rPr>
          <w:rFonts w:asciiTheme="minorHAnsi" w:hAnsiTheme="minorHAnsi" w:cstheme="minorHAnsi"/>
          <w:bCs/>
          <w:sz w:val="22"/>
          <w:szCs w:val="22"/>
        </w:rPr>
        <w:t>5.469,36</w:t>
      </w:r>
      <w:r w:rsidR="00FF3C87">
        <w:rPr>
          <w:rFonts w:asciiTheme="minorHAnsi" w:hAnsiTheme="minorHAnsi" w:cstheme="minorHAnsi"/>
          <w:bCs/>
          <w:sz w:val="22"/>
          <w:szCs w:val="22"/>
        </w:rPr>
        <w:t xml:space="preserve"> €</w:t>
      </w:r>
      <w:r w:rsidR="00005D71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 w:rsidR="00CD252E">
        <w:rPr>
          <w:rFonts w:asciiTheme="minorHAnsi" w:hAnsiTheme="minorHAnsi" w:cstheme="minorHAnsi"/>
          <w:bCs/>
          <w:sz w:val="22"/>
          <w:szCs w:val="22"/>
        </w:rPr>
        <w:t xml:space="preserve">prehranu učenika </w:t>
      </w:r>
      <w:r w:rsidR="00F13D96">
        <w:rPr>
          <w:rFonts w:asciiTheme="minorHAnsi" w:hAnsiTheme="minorHAnsi" w:cstheme="minorHAnsi"/>
          <w:bCs/>
          <w:sz w:val="22"/>
          <w:szCs w:val="22"/>
        </w:rPr>
        <w:t>za prosinac 202</w:t>
      </w:r>
      <w:r w:rsidR="00E06779">
        <w:rPr>
          <w:rFonts w:asciiTheme="minorHAnsi" w:hAnsiTheme="minorHAnsi" w:cstheme="minorHAnsi"/>
          <w:bCs/>
          <w:sz w:val="22"/>
          <w:szCs w:val="22"/>
        </w:rPr>
        <w:t>4</w:t>
      </w:r>
      <w:r w:rsidR="00F13D96">
        <w:rPr>
          <w:rFonts w:asciiTheme="minorHAnsi" w:hAnsiTheme="minorHAnsi" w:cstheme="minorHAnsi"/>
          <w:bCs/>
          <w:sz w:val="22"/>
          <w:szCs w:val="22"/>
        </w:rPr>
        <w:t>.</w:t>
      </w:r>
      <w:r w:rsidR="002925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252E">
        <w:rPr>
          <w:rFonts w:asciiTheme="minorHAnsi" w:hAnsiTheme="minorHAnsi" w:cstheme="minorHAnsi"/>
          <w:bCs/>
          <w:sz w:val="22"/>
          <w:szCs w:val="22"/>
        </w:rPr>
        <w:t xml:space="preserve">a koji </w:t>
      </w:r>
      <w:r w:rsidR="00544FE8">
        <w:rPr>
          <w:rFonts w:asciiTheme="minorHAnsi" w:hAnsiTheme="minorHAnsi" w:cstheme="minorHAnsi"/>
          <w:bCs/>
          <w:sz w:val="22"/>
          <w:szCs w:val="22"/>
        </w:rPr>
        <w:t>su</w:t>
      </w:r>
      <w:r w:rsidR="00CD252E">
        <w:rPr>
          <w:rFonts w:asciiTheme="minorHAnsi" w:hAnsiTheme="minorHAnsi" w:cstheme="minorHAnsi"/>
          <w:bCs/>
          <w:sz w:val="22"/>
          <w:szCs w:val="22"/>
        </w:rPr>
        <w:t xml:space="preserve"> doznačen</w:t>
      </w:r>
      <w:r w:rsidR="00544FE8">
        <w:rPr>
          <w:rFonts w:asciiTheme="minorHAnsi" w:hAnsiTheme="minorHAnsi" w:cstheme="minorHAnsi"/>
          <w:bCs/>
          <w:sz w:val="22"/>
          <w:szCs w:val="22"/>
        </w:rPr>
        <w:t>i</w:t>
      </w:r>
      <w:r w:rsidR="00CD252E">
        <w:rPr>
          <w:rFonts w:asciiTheme="minorHAnsi" w:hAnsiTheme="minorHAnsi" w:cstheme="minorHAnsi"/>
          <w:bCs/>
          <w:sz w:val="22"/>
          <w:szCs w:val="22"/>
        </w:rPr>
        <w:t xml:space="preserve"> u siječnju 202</w:t>
      </w:r>
      <w:r w:rsidR="00E06779">
        <w:rPr>
          <w:rFonts w:asciiTheme="minorHAnsi" w:hAnsiTheme="minorHAnsi" w:cstheme="minorHAnsi"/>
          <w:bCs/>
          <w:sz w:val="22"/>
          <w:szCs w:val="22"/>
        </w:rPr>
        <w:t>5</w:t>
      </w:r>
      <w:r w:rsidR="00CD252E">
        <w:rPr>
          <w:rFonts w:asciiTheme="minorHAnsi" w:hAnsiTheme="minorHAnsi" w:cstheme="minorHAnsi"/>
          <w:bCs/>
          <w:sz w:val="22"/>
          <w:szCs w:val="22"/>
        </w:rPr>
        <w:t>.</w:t>
      </w:r>
      <w:r w:rsidR="0029257F">
        <w:rPr>
          <w:rFonts w:asciiTheme="minorHAnsi" w:hAnsiTheme="minorHAnsi" w:cstheme="minorHAnsi"/>
          <w:bCs/>
          <w:sz w:val="22"/>
          <w:szCs w:val="22"/>
        </w:rPr>
        <w:t>,</w:t>
      </w:r>
      <w:r w:rsidR="004E0D65">
        <w:rPr>
          <w:rFonts w:asciiTheme="minorHAnsi" w:hAnsiTheme="minorHAnsi" w:cstheme="minorHAnsi"/>
          <w:bCs/>
          <w:sz w:val="22"/>
          <w:szCs w:val="22"/>
        </w:rPr>
        <w:t xml:space="preserve"> iz čega proizlazi da bi ukupni višak prihoda iznosio </w:t>
      </w:r>
      <w:r w:rsidR="00D85A6F">
        <w:rPr>
          <w:rFonts w:asciiTheme="minorHAnsi" w:hAnsiTheme="minorHAnsi" w:cstheme="minorHAnsi"/>
          <w:bCs/>
          <w:sz w:val="22"/>
          <w:szCs w:val="22"/>
        </w:rPr>
        <w:t>7.769,52</w:t>
      </w:r>
      <w:r w:rsidR="005B611A">
        <w:rPr>
          <w:rFonts w:asciiTheme="minorHAnsi" w:hAnsiTheme="minorHAnsi" w:cstheme="minorHAnsi"/>
          <w:bCs/>
          <w:sz w:val="22"/>
          <w:szCs w:val="22"/>
        </w:rPr>
        <w:t xml:space="preserve"> € </w:t>
      </w:r>
      <w:r w:rsidR="0029257F">
        <w:rPr>
          <w:rFonts w:asciiTheme="minorHAnsi" w:hAnsiTheme="minorHAnsi" w:cstheme="minorHAnsi"/>
          <w:bCs/>
          <w:sz w:val="22"/>
          <w:szCs w:val="22"/>
        </w:rPr>
        <w:t>u slučaju da su sredstva doznačena u 202</w:t>
      </w:r>
      <w:r w:rsidR="00E06779">
        <w:rPr>
          <w:rFonts w:asciiTheme="minorHAnsi" w:hAnsiTheme="minorHAnsi" w:cstheme="minorHAnsi"/>
          <w:bCs/>
          <w:sz w:val="22"/>
          <w:szCs w:val="22"/>
        </w:rPr>
        <w:t>4</w:t>
      </w:r>
      <w:r w:rsidR="0029257F">
        <w:rPr>
          <w:rFonts w:asciiTheme="minorHAnsi" w:hAnsiTheme="minorHAnsi" w:cstheme="minorHAnsi"/>
          <w:bCs/>
          <w:sz w:val="22"/>
          <w:szCs w:val="22"/>
        </w:rPr>
        <w:t>. godini.</w:t>
      </w:r>
    </w:p>
    <w:p w14:paraId="0A2E57C2" w14:textId="77777777" w:rsidR="008812CD" w:rsidRDefault="008812C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534CA9" w14:textId="2E620FE1" w:rsidR="008812CD" w:rsidRDefault="008812C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Prijenos manjka u sljedeće razdoblje 221.608,28 €-manjak prihoda nastao je uslijed ukidanja skupine 193 te imamo priznatih sedam rashoda za plaće za prvih šest mjeseci, nisu nam doznačena sredstva za podmirenje školske prehrane za svibanj i lipanj te sredstva za materijalne rashode i rashode za nabavu nefinancijske imovine nastale u lipnju.</w:t>
      </w:r>
    </w:p>
    <w:p w14:paraId="30E2F5A2" w14:textId="77777777" w:rsidR="006A2485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F61ACD" w14:textId="77777777" w:rsidR="006A2485" w:rsidRPr="00EC4BD3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2.3. Rashodi i izdaci</w:t>
      </w:r>
    </w:p>
    <w:p w14:paraId="356EE0DF" w14:textId="77777777" w:rsidR="006A2485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B59FE7" w14:textId="765E612C" w:rsidR="006A2485" w:rsidRDefault="006A2485" w:rsidP="006A24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Ukupni rashodi i izdaci za 202</w:t>
      </w:r>
      <w:r w:rsidR="00E06779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godinu planirani su u iznosu </w:t>
      </w:r>
      <w:r w:rsidR="006F10A7">
        <w:rPr>
          <w:rFonts w:asciiTheme="minorHAnsi" w:hAnsiTheme="minorHAnsi" w:cstheme="minorHAnsi"/>
          <w:bCs/>
          <w:sz w:val="22"/>
          <w:szCs w:val="22"/>
        </w:rPr>
        <w:t>2.</w:t>
      </w:r>
      <w:r w:rsidR="0008205D">
        <w:rPr>
          <w:rFonts w:asciiTheme="minorHAnsi" w:hAnsiTheme="minorHAnsi" w:cstheme="minorHAnsi"/>
          <w:bCs/>
          <w:sz w:val="22"/>
          <w:szCs w:val="22"/>
        </w:rPr>
        <w:t>532.196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a u razdoblju 01.01.202</w:t>
      </w:r>
      <w:r w:rsidR="00E06779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>.-3</w:t>
      </w:r>
      <w:r w:rsidR="00E06779">
        <w:rPr>
          <w:rFonts w:asciiTheme="minorHAnsi" w:hAnsiTheme="minorHAnsi" w:cstheme="minorHAnsi"/>
          <w:bCs/>
          <w:sz w:val="22"/>
          <w:szCs w:val="22"/>
        </w:rPr>
        <w:t>0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E06779">
        <w:rPr>
          <w:rFonts w:asciiTheme="minorHAnsi" w:hAnsiTheme="minorHAnsi" w:cstheme="minorHAnsi"/>
          <w:bCs/>
          <w:sz w:val="22"/>
          <w:szCs w:val="22"/>
        </w:rPr>
        <w:t>06</w:t>
      </w:r>
      <w:r>
        <w:rPr>
          <w:rFonts w:asciiTheme="minorHAnsi" w:hAnsiTheme="minorHAnsi" w:cstheme="minorHAnsi"/>
          <w:bCs/>
          <w:sz w:val="22"/>
          <w:szCs w:val="22"/>
        </w:rPr>
        <w:t>.202</w:t>
      </w:r>
      <w:r w:rsidR="00E06779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. ostvareni su u iznosu </w:t>
      </w:r>
      <w:r w:rsidR="0008205D">
        <w:rPr>
          <w:rFonts w:asciiTheme="minorHAnsi" w:hAnsiTheme="minorHAnsi" w:cstheme="minorHAnsi"/>
          <w:bCs/>
          <w:sz w:val="22"/>
          <w:szCs w:val="22"/>
        </w:rPr>
        <w:t>2.446.291,65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što je ostvarenje od </w:t>
      </w:r>
      <w:r w:rsidR="0008205D">
        <w:rPr>
          <w:rFonts w:asciiTheme="minorHAnsi" w:hAnsiTheme="minorHAnsi" w:cstheme="minorHAnsi"/>
          <w:bCs/>
          <w:sz w:val="22"/>
          <w:szCs w:val="22"/>
        </w:rPr>
        <w:t>96,61</w:t>
      </w:r>
      <w:r>
        <w:rPr>
          <w:rFonts w:asciiTheme="minorHAnsi" w:hAnsiTheme="minorHAnsi" w:cstheme="minorHAnsi"/>
          <w:bCs/>
          <w:sz w:val="22"/>
          <w:szCs w:val="22"/>
        </w:rPr>
        <w:t xml:space="preserve"> %, kako je prikazano u Tablici 2.</w:t>
      </w:r>
    </w:p>
    <w:p w14:paraId="47C45967" w14:textId="724C9DDC" w:rsidR="00EC4BD3" w:rsidRDefault="00680248" w:rsidP="006A24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 odnosu na izvještajno razdoblje prethodne godine primjećuje se povećanje ostvarenih rashoda poslovanja, najviše iz razloga povećanja osnovice </w:t>
      </w:r>
      <w:r w:rsidR="00E4431E">
        <w:rPr>
          <w:rFonts w:asciiTheme="minorHAnsi" w:hAnsiTheme="minorHAnsi" w:cstheme="minorHAnsi"/>
          <w:bCs/>
          <w:sz w:val="22"/>
          <w:szCs w:val="22"/>
        </w:rPr>
        <w:t xml:space="preserve">i koeficijenata </w:t>
      </w:r>
      <w:r>
        <w:rPr>
          <w:rFonts w:asciiTheme="minorHAnsi" w:hAnsiTheme="minorHAnsi" w:cstheme="minorHAnsi"/>
          <w:bCs/>
          <w:sz w:val="22"/>
          <w:szCs w:val="22"/>
        </w:rPr>
        <w:t>za isplatu plaće zaposlenicima</w:t>
      </w:r>
      <w:r w:rsidR="008D22AC">
        <w:rPr>
          <w:rFonts w:asciiTheme="minorHAnsi" w:hAnsiTheme="minorHAnsi" w:cstheme="minorHAnsi"/>
          <w:bCs/>
          <w:sz w:val="22"/>
          <w:szCs w:val="22"/>
        </w:rPr>
        <w:t>, prekovremenog rada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B0F">
        <w:rPr>
          <w:rFonts w:asciiTheme="minorHAnsi" w:hAnsiTheme="minorHAnsi" w:cstheme="minorHAnsi"/>
          <w:bCs/>
          <w:sz w:val="22"/>
          <w:szCs w:val="22"/>
        </w:rPr>
        <w:t xml:space="preserve">zbog zamjena za bolovanja, </w:t>
      </w:r>
      <w:r>
        <w:rPr>
          <w:rFonts w:asciiTheme="minorHAnsi" w:hAnsiTheme="minorHAnsi" w:cstheme="minorHAnsi"/>
          <w:bCs/>
          <w:sz w:val="22"/>
          <w:szCs w:val="22"/>
        </w:rPr>
        <w:t xml:space="preserve">te iznosa za isplatu </w:t>
      </w:r>
      <w:r w:rsidR="00E4431E">
        <w:rPr>
          <w:rFonts w:asciiTheme="minorHAnsi" w:hAnsiTheme="minorHAnsi" w:cstheme="minorHAnsi"/>
          <w:bCs/>
          <w:sz w:val="22"/>
          <w:szCs w:val="22"/>
        </w:rPr>
        <w:t>uskrsnice</w:t>
      </w:r>
      <w:r>
        <w:rPr>
          <w:rFonts w:asciiTheme="minorHAnsi" w:hAnsiTheme="minorHAnsi" w:cstheme="minorHAnsi"/>
          <w:bCs/>
          <w:sz w:val="22"/>
          <w:szCs w:val="22"/>
        </w:rPr>
        <w:t>, isplaćen</w:t>
      </w:r>
      <w:r w:rsidR="00C97D37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7D37">
        <w:rPr>
          <w:rFonts w:asciiTheme="minorHAnsi" w:hAnsiTheme="minorHAnsi" w:cstheme="minorHAnsi"/>
          <w:bCs/>
          <w:sz w:val="22"/>
          <w:szCs w:val="22"/>
        </w:rPr>
        <w:t>su</w:t>
      </w:r>
      <w:r>
        <w:rPr>
          <w:rFonts w:asciiTheme="minorHAnsi" w:hAnsiTheme="minorHAnsi" w:cstheme="minorHAnsi"/>
          <w:bCs/>
          <w:sz w:val="22"/>
          <w:szCs w:val="22"/>
        </w:rPr>
        <w:t xml:space="preserve"> pomoći </w:t>
      </w:r>
      <w:r w:rsidR="00C97D37">
        <w:rPr>
          <w:rFonts w:asciiTheme="minorHAnsi" w:hAnsiTheme="minorHAnsi" w:cstheme="minorHAnsi"/>
          <w:bCs/>
          <w:sz w:val="22"/>
          <w:szCs w:val="22"/>
        </w:rPr>
        <w:t xml:space="preserve">za bolovanje, smrtni slučaj u obitelji </w:t>
      </w:r>
      <w:r>
        <w:rPr>
          <w:rFonts w:asciiTheme="minorHAnsi" w:hAnsiTheme="minorHAnsi" w:cstheme="minorHAnsi"/>
          <w:bCs/>
          <w:sz w:val="22"/>
          <w:szCs w:val="22"/>
        </w:rPr>
        <w:t>zaposlenicima,</w:t>
      </w:r>
      <w:r w:rsidR="00CA771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B0F">
        <w:rPr>
          <w:rFonts w:asciiTheme="minorHAnsi" w:hAnsiTheme="minorHAnsi" w:cstheme="minorHAnsi"/>
          <w:bCs/>
          <w:sz w:val="22"/>
          <w:szCs w:val="22"/>
        </w:rPr>
        <w:t xml:space="preserve">otpremnina, </w:t>
      </w:r>
      <w:r w:rsidR="00A10DDC">
        <w:rPr>
          <w:rFonts w:asciiTheme="minorHAnsi" w:hAnsiTheme="minorHAnsi" w:cstheme="minorHAnsi"/>
          <w:bCs/>
          <w:sz w:val="22"/>
          <w:szCs w:val="22"/>
        </w:rPr>
        <w:t xml:space="preserve">jubilarne nagrade, regres za godišnji odmor, </w:t>
      </w:r>
      <w:r>
        <w:rPr>
          <w:rFonts w:asciiTheme="minorHAnsi" w:hAnsiTheme="minorHAnsi" w:cstheme="minorHAnsi"/>
          <w:bCs/>
          <w:sz w:val="22"/>
          <w:szCs w:val="22"/>
        </w:rPr>
        <w:t>materijala i sredstava za čišćenje i održavanje, materijala za higijenske potrebe i njegu</w:t>
      </w:r>
      <w:r w:rsidR="003E001D">
        <w:rPr>
          <w:rFonts w:asciiTheme="minorHAnsi" w:hAnsiTheme="minorHAnsi" w:cstheme="minorHAnsi"/>
          <w:bCs/>
          <w:sz w:val="22"/>
          <w:szCs w:val="22"/>
        </w:rPr>
        <w:t xml:space="preserve"> te</w:t>
      </w:r>
      <w:r>
        <w:rPr>
          <w:rFonts w:asciiTheme="minorHAnsi" w:hAnsiTheme="minorHAnsi" w:cstheme="minorHAnsi"/>
          <w:bCs/>
          <w:sz w:val="22"/>
          <w:szCs w:val="22"/>
        </w:rPr>
        <w:t xml:space="preserve"> uredskog materijala</w:t>
      </w:r>
      <w:r w:rsidR="003E001D">
        <w:rPr>
          <w:rFonts w:asciiTheme="minorHAnsi" w:hAnsiTheme="minorHAnsi" w:cstheme="minorHAnsi"/>
          <w:bCs/>
          <w:sz w:val="22"/>
          <w:szCs w:val="22"/>
        </w:rPr>
        <w:t>.</w:t>
      </w:r>
    </w:p>
    <w:p w14:paraId="52A6A141" w14:textId="77777777" w:rsidR="00490321" w:rsidRDefault="00490321" w:rsidP="0034024D">
      <w:pPr>
        <w:spacing w:line="360" w:lineRule="auto"/>
        <w:jc w:val="both"/>
        <w:rPr>
          <w:shd w:val="clear" w:color="auto" w:fill="FFFFFF"/>
        </w:rPr>
      </w:pPr>
      <w:r>
        <w:rPr>
          <w:lang w:eastAsia="hr-HR"/>
        </w:rPr>
        <w:t xml:space="preserve">         </w:t>
      </w:r>
    </w:p>
    <w:p w14:paraId="5D851679" w14:textId="568AA368" w:rsidR="008308E5" w:rsidRPr="001B3773" w:rsidRDefault="008308E5" w:rsidP="00680248">
      <w:pPr>
        <w:spacing w:line="360" w:lineRule="auto"/>
        <w:jc w:val="both"/>
        <w:rPr>
          <w:rFonts w:asciiTheme="minorHAnsi" w:hAnsiTheme="minorHAnsi" w:cstheme="minorHAnsi"/>
          <w:b/>
          <w:bCs/>
          <w:lang w:eastAsia="hr-HR"/>
        </w:rPr>
      </w:pPr>
      <w:r w:rsidRPr="001B3773">
        <w:rPr>
          <w:rFonts w:asciiTheme="minorHAnsi" w:hAnsiTheme="minorHAnsi" w:cstheme="minorHAnsi"/>
          <w:bCs/>
          <w:lang w:eastAsia="hr-HR"/>
        </w:rPr>
        <w:t>Tablica 2.</w:t>
      </w:r>
      <w:r w:rsidRPr="001B3773">
        <w:rPr>
          <w:rFonts w:asciiTheme="minorHAnsi" w:hAnsiTheme="minorHAnsi" w:cstheme="minorHAnsi"/>
          <w:b/>
          <w:bCs/>
          <w:lang w:eastAsia="hr-HR"/>
        </w:rPr>
        <w:t xml:space="preserve"> </w:t>
      </w:r>
      <w:r w:rsidRPr="001B3773">
        <w:rPr>
          <w:rFonts w:asciiTheme="minorHAnsi" w:hAnsiTheme="minorHAnsi" w:cstheme="minorHAnsi"/>
          <w:bCs/>
          <w:lang w:eastAsia="hr-HR"/>
        </w:rPr>
        <w:t xml:space="preserve">Usporedba planiranih i ostvarenih </w:t>
      </w:r>
      <w:r w:rsidRPr="001B3773">
        <w:rPr>
          <w:rFonts w:asciiTheme="minorHAnsi" w:hAnsiTheme="minorHAnsi" w:cstheme="minorHAnsi"/>
          <w:lang w:eastAsia="hr-HR"/>
        </w:rPr>
        <w:t>rashoda i izdataka u 202</w:t>
      </w:r>
      <w:r w:rsidR="00E06779">
        <w:rPr>
          <w:rFonts w:asciiTheme="minorHAnsi" w:hAnsiTheme="minorHAnsi" w:cstheme="minorHAnsi"/>
          <w:lang w:eastAsia="hr-HR"/>
        </w:rPr>
        <w:t>5</w:t>
      </w:r>
      <w:r w:rsidRPr="001B3773">
        <w:rPr>
          <w:rFonts w:asciiTheme="minorHAnsi" w:hAnsiTheme="minorHAnsi" w:cstheme="minorHAnsi"/>
          <w:lang w:eastAsia="hr-HR"/>
        </w:rPr>
        <w:t>.godini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1701"/>
        <w:gridCol w:w="1559"/>
        <w:gridCol w:w="1134"/>
        <w:gridCol w:w="1134"/>
      </w:tblGrid>
      <w:tr w:rsidR="008308E5" w:rsidRPr="001B3773" w14:paraId="79E48BBE" w14:textId="77777777" w:rsidTr="00D914F7">
        <w:trPr>
          <w:trHeight w:val="7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452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Rashodi/izdaci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B00" w14:textId="1A2930A6" w:rsidR="008308E5" w:rsidRPr="001B3773" w:rsidRDefault="008308E5" w:rsidP="00D83230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Planirani iznos za 202</w:t>
            </w:r>
            <w:r w:rsidR="00E06779">
              <w:rPr>
                <w:rFonts w:asciiTheme="minorHAnsi" w:hAnsiTheme="minorHAnsi" w:cstheme="minorHAnsi"/>
                <w:lang w:eastAsia="hr-HR"/>
              </w:rPr>
              <w:t>5</w:t>
            </w:r>
            <w:r w:rsidRPr="001B3773">
              <w:rPr>
                <w:rFonts w:asciiTheme="minorHAnsi" w:hAnsiTheme="minorHAnsi" w:cstheme="minorHAnsi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757" w14:textId="6CE20648" w:rsidR="008308E5" w:rsidRPr="001B3773" w:rsidRDefault="008308E5" w:rsidP="00D83230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 xml:space="preserve">Izvršenje 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01.01.202</w:t>
            </w:r>
            <w:r w:rsidR="00E06779">
              <w:rPr>
                <w:rFonts w:asciiTheme="minorHAnsi" w:hAnsiTheme="minorHAnsi" w:cstheme="minorHAnsi"/>
                <w:lang w:eastAsia="hr-HR"/>
              </w:rPr>
              <w:t>5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.-3</w:t>
            </w:r>
            <w:r w:rsidR="00E06779">
              <w:rPr>
                <w:rFonts w:asciiTheme="minorHAnsi" w:hAnsiTheme="minorHAnsi" w:cstheme="minorHAnsi"/>
                <w:lang w:eastAsia="hr-HR"/>
              </w:rPr>
              <w:t>0</w:t>
            </w:r>
            <w:r w:rsidR="002E403A">
              <w:rPr>
                <w:rFonts w:asciiTheme="minorHAnsi" w:hAnsiTheme="minorHAnsi" w:cstheme="minorHAnsi"/>
                <w:lang w:eastAsia="hr-HR"/>
              </w:rPr>
              <w:t>.</w:t>
            </w:r>
            <w:r w:rsidR="00E06779">
              <w:rPr>
                <w:rFonts w:asciiTheme="minorHAnsi" w:hAnsiTheme="minorHAnsi" w:cstheme="minorHAnsi"/>
                <w:lang w:eastAsia="hr-HR"/>
              </w:rPr>
              <w:t>06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.</w:t>
            </w:r>
            <w:r w:rsidRPr="001B3773">
              <w:rPr>
                <w:rFonts w:asciiTheme="minorHAnsi" w:hAnsiTheme="minorHAnsi" w:cstheme="minorHAnsi"/>
                <w:lang w:eastAsia="hr-HR"/>
              </w:rPr>
              <w:t>202</w:t>
            </w:r>
            <w:r w:rsidR="00E06779">
              <w:rPr>
                <w:rFonts w:asciiTheme="minorHAnsi" w:hAnsiTheme="minorHAnsi" w:cstheme="minorHAnsi"/>
                <w:lang w:eastAsia="hr-HR"/>
              </w:rPr>
              <w:t>5</w:t>
            </w:r>
            <w:r w:rsidRPr="001B3773">
              <w:rPr>
                <w:rFonts w:asciiTheme="minorHAnsi" w:hAnsiTheme="minorHAnsi" w:cstheme="minorHAnsi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45D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Indeks izvršenja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2DF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Udio u izvršenju</w:t>
            </w:r>
          </w:p>
        </w:tc>
      </w:tr>
      <w:tr w:rsidR="008308E5" w:rsidRPr="001B3773" w14:paraId="006F1B85" w14:textId="77777777" w:rsidTr="00A8209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3D8" w14:textId="77777777" w:rsidR="008308E5" w:rsidRPr="001B3773" w:rsidRDefault="008308E5" w:rsidP="00D914F7">
            <w:pPr>
              <w:rPr>
                <w:rFonts w:asciiTheme="minorHAnsi" w:hAnsiTheme="minorHAnsi" w:cstheme="minorHAnsi"/>
                <w:b/>
                <w:lang w:eastAsia="hr-HR"/>
              </w:rPr>
            </w:pPr>
            <w:r w:rsidRPr="001B3773">
              <w:rPr>
                <w:rFonts w:asciiTheme="minorHAnsi" w:hAnsiTheme="minorHAnsi" w:cstheme="minorHAnsi"/>
                <w:b/>
                <w:lang w:eastAsia="hr-HR"/>
              </w:rPr>
              <w:t>Ukupni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BDFE" w14:textId="4FF6E2E2" w:rsidR="008308E5" w:rsidRPr="001B3773" w:rsidRDefault="00000499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2.</w:t>
            </w:r>
            <w:r w:rsidR="00D9746B">
              <w:rPr>
                <w:rFonts w:asciiTheme="minorHAnsi" w:hAnsiTheme="minorHAnsi" w:cstheme="minorHAnsi"/>
                <w:b/>
                <w:lang w:eastAsia="hr-HR"/>
              </w:rPr>
              <w:t>604.198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A206" w14:textId="79720EEA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1.437.122,63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779" w14:textId="0F0AB70F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55,18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7E2" w14:textId="77777777" w:rsidR="008308E5" w:rsidRPr="001B3773" w:rsidRDefault="008308E5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 w:rsidRPr="001B3773">
              <w:rPr>
                <w:rFonts w:asciiTheme="minorHAnsi" w:hAnsiTheme="minorHAnsi" w:cstheme="minorHAnsi"/>
                <w:b/>
                <w:lang w:eastAsia="hr-HR"/>
              </w:rPr>
              <w:t>100</w:t>
            </w:r>
          </w:p>
        </w:tc>
      </w:tr>
      <w:tr w:rsidR="008308E5" w:rsidRPr="001B3773" w14:paraId="27754378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ECE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753C" w14:textId="027FEAED" w:rsidR="008308E5" w:rsidRPr="001B3773" w:rsidRDefault="00D9746B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2.152.830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6048" w14:textId="0C1585A7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1.138.988,05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9B3" w14:textId="641EA34E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ACB4" w14:textId="735FEEAA" w:rsidR="008308E5" w:rsidRPr="001B3773" w:rsidRDefault="003746AC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7</w:t>
            </w:r>
            <w:r w:rsidR="000E1C8E">
              <w:rPr>
                <w:rFonts w:asciiTheme="minorHAnsi" w:hAnsiTheme="minorHAnsi" w:cstheme="minorHAnsi"/>
                <w:lang w:eastAsia="hr-HR"/>
              </w:rPr>
              <w:t>9,26</w:t>
            </w:r>
          </w:p>
        </w:tc>
      </w:tr>
      <w:tr w:rsidR="008308E5" w:rsidRPr="001B3773" w14:paraId="0894DCC3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069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605E" w14:textId="5F2F55E3" w:rsidR="008308E5" w:rsidRPr="001B3773" w:rsidRDefault="00A8209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3</w:t>
            </w:r>
            <w:r w:rsidR="000E1C8E">
              <w:rPr>
                <w:rFonts w:asciiTheme="minorHAnsi" w:hAnsiTheme="minorHAnsi" w:cstheme="minorHAnsi"/>
                <w:lang w:eastAsia="hr-HR"/>
              </w:rPr>
              <w:t>80.248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AFEB" w14:textId="2BEEDC78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198.380,68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5F0" w14:textId="732072D6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9A50" w14:textId="10D9B8CD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13,80</w:t>
            </w:r>
          </w:p>
        </w:tc>
      </w:tr>
      <w:tr w:rsidR="008308E5" w:rsidRPr="001B3773" w14:paraId="305AA9A1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D551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7244" w14:textId="79781B33" w:rsidR="008308E5" w:rsidRPr="001B3773" w:rsidRDefault="006F10A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</w:t>
            </w:r>
            <w:r w:rsidR="000E1C8E">
              <w:rPr>
                <w:rFonts w:asciiTheme="minorHAnsi" w:hAnsiTheme="minorHAnsi" w:cstheme="minorHAnsi"/>
                <w:lang w:eastAsia="hr-H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A5D9" w14:textId="4971FDBE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492,82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526" w14:textId="19764EDC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B8F0" w14:textId="126E6C4D" w:rsidR="008308E5" w:rsidRPr="001B3773" w:rsidRDefault="00595A02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0,0</w:t>
            </w:r>
            <w:r w:rsidR="009B55C0">
              <w:rPr>
                <w:rFonts w:asciiTheme="minorHAnsi" w:hAnsiTheme="minorHAnsi" w:cstheme="minorHAnsi"/>
                <w:lang w:eastAsia="hr-HR"/>
              </w:rPr>
              <w:t>3</w:t>
            </w:r>
          </w:p>
        </w:tc>
      </w:tr>
      <w:tr w:rsidR="00A82091" w:rsidRPr="001B3773" w14:paraId="4B4C3B2A" w14:textId="77777777" w:rsidTr="00A8209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422F" w14:textId="77777777" w:rsidR="00A82091" w:rsidRPr="001B3773" w:rsidRDefault="00A82091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BD7E" w14:textId="5699A73C" w:rsidR="00A82091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69.000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825C" w14:textId="3EE248B9" w:rsidR="00A82091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A8CD" w14:textId="77777777" w:rsidR="00936C19" w:rsidRDefault="00936C19" w:rsidP="00936C19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  <w:p w14:paraId="15C0D95E" w14:textId="0DBCF0A7" w:rsidR="00A82091" w:rsidRPr="001B3773" w:rsidRDefault="000E1C8E" w:rsidP="00936C19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ABBD" w14:textId="43DAF27F" w:rsidR="00A82091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</w:tr>
      <w:tr w:rsidR="008308E5" w:rsidRPr="001B3773" w14:paraId="6D72C612" w14:textId="77777777" w:rsidTr="00D914F7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9B5D" w14:textId="77777777" w:rsidR="008308E5" w:rsidRPr="001B3773" w:rsidRDefault="00A82091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Ostali rashodi-t</w:t>
            </w:r>
            <w:r w:rsidR="008308E5" w:rsidRPr="001B3773">
              <w:rPr>
                <w:rFonts w:asciiTheme="minorHAnsi" w:hAnsiTheme="minorHAnsi" w:cstheme="minorHAnsi"/>
                <w:lang w:eastAsia="hr-HR"/>
              </w:rPr>
              <w:t>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2836" w14:textId="0C63F9C4" w:rsidR="008308E5" w:rsidRPr="001B3773" w:rsidRDefault="006F10A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</w:t>
            </w:r>
            <w:r w:rsidR="000E1C8E">
              <w:rPr>
                <w:rFonts w:asciiTheme="minorHAnsi" w:hAnsiTheme="minorHAnsi" w:cstheme="minorHAnsi"/>
                <w:lang w:eastAsia="hr-HR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68E5" w14:textId="3CFFE3B8" w:rsidR="008308E5" w:rsidRPr="001B3773" w:rsidRDefault="008308E5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BC1" w14:textId="7B331B07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E0E7" w14:textId="2B18237C" w:rsidR="008308E5" w:rsidRPr="001B3773" w:rsidRDefault="00595A02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0,</w:t>
            </w:r>
            <w:r w:rsidR="00936C19">
              <w:rPr>
                <w:rFonts w:asciiTheme="minorHAnsi" w:hAnsiTheme="minorHAnsi" w:cstheme="minorHAnsi"/>
                <w:lang w:eastAsia="hr-HR"/>
              </w:rPr>
              <w:t>0</w:t>
            </w:r>
            <w:r w:rsidR="000E1C8E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</w:tr>
      <w:tr w:rsidR="00A82091" w:rsidRPr="001B3773" w14:paraId="71424479" w14:textId="77777777" w:rsidTr="00D914F7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9DAB" w14:textId="77777777" w:rsidR="00A82091" w:rsidRPr="001B3773" w:rsidRDefault="00A82091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9026" w14:textId="5F553DB7" w:rsidR="00A82091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25.100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D248" w14:textId="398B2E77" w:rsidR="00936C19" w:rsidRPr="001B3773" w:rsidRDefault="000E5957" w:rsidP="00936C19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</w:t>
            </w:r>
            <w:r w:rsidR="000E1C8E">
              <w:rPr>
                <w:rFonts w:asciiTheme="minorHAnsi" w:hAnsiTheme="minorHAnsi" w:cstheme="minorHAnsi"/>
                <w:lang w:eastAsia="hr-HR"/>
              </w:rPr>
              <w:t>7.464,10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F592" w14:textId="7C27AC33" w:rsidR="00A82091" w:rsidRDefault="00A8209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  <w:p w14:paraId="796BCAC7" w14:textId="1471B441" w:rsidR="00936C19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1E18" w14:textId="663B207B" w:rsidR="00A82091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1,22</w:t>
            </w:r>
          </w:p>
        </w:tc>
      </w:tr>
      <w:tr w:rsidR="008308E5" w:rsidRPr="001B3773" w14:paraId="4D15638E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DA49" w14:textId="77777777" w:rsidR="008308E5" w:rsidRPr="001B3773" w:rsidRDefault="008308E5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 xml:space="preserve">Rashodi za </w:t>
            </w:r>
            <w:r w:rsidR="00A82091" w:rsidRPr="001B3773">
              <w:rPr>
                <w:rFonts w:asciiTheme="minorHAnsi" w:hAnsiTheme="minorHAnsi" w:cstheme="minorHAnsi"/>
                <w:lang w:eastAsia="hr-HR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CD9B" w14:textId="6E6894F7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77CC" w14:textId="190C7917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81.746,02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8E33" w14:textId="77777777" w:rsidR="00936C19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  <w:p w14:paraId="76AB8155" w14:textId="4DDD9E2D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8ADF" w14:textId="135ECDB1" w:rsidR="008308E5" w:rsidRPr="001B3773" w:rsidRDefault="000E1C8E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5,69</w:t>
            </w:r>
          </w:p>
        </w:tc>
      </w:tr>
    </w:tbl>
    <w:p w14:paraId="4899108F" w14:textId="77777777" w:rsidR="008308E5" w:rsidRPr="000D5713" w:rsidRDefault="008308E5" w:rsidP="008308E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331D0CDA" w14:textId="5677DA7C" w:rsidR="003B31D6" w:rsidRPr="000D5713" w:rsidRDefault="00445B9D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Najveći udio u izvršenju rashoda </w:t>
      </w:r>
      <w:r w:rsidR="000D5713"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poslovanja imaju rashodi za zaposlene i to 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="00142FC2">
        <w:rPr>
          <w:rFonts w:asciiTheme="minorHAnsi" w:hAnsiTheme="minorHAnsi" w:cstheme="minorHAnsi"/>
          <w:sz w:val="22"/>
          <w:szCs w:val="22"/>
          <w:shd w:val="clear" w:color="auto" w:fill="FFFFFF"/>
        </w:rPr>
        <w:t>9,26</w:t>
      </w:r>
      <w:r w:rsidR="000D5713"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%, zatim slijede materijalni rashodi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36C19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142FC2">
        <w:rPr>
          <w:rFonts w:asciiTheme="minorHAnsi" w:hAnsiTheme="minorHAnsi" w:cstheme="minorHAnsi"/>
          <w:sz w:val="22"/>
          <w:szCs w:val="22"/>
          <w:shd w:val="clear" w:color="auto" w:fill="FFFFFF"/>
        </w:rPr>
        <w:t>3,80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</w:t>
      </w:r>
      <w:r w:rsidR="00AE50A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24CC504" w14:textId="7E35BDED" w:rsidR="00D61830" w:rsidRDefault="00986A32" w:rsidP="00D6183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Rashodi za dodatna ulaganja na građevinskim objektima odnose se na radove na </w:t>
      </w:r>
      <w:r w:rsidR="0072039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sanaciji </w:t>
      </w:r>
      <w:r w:rsidR="001A7F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 uređenju </w:t>
      </w:r>
      <w:r w:rsidR="00720392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142FC2">
        <w:rPr>
          <w:rFonts w:asciiTheme="minorHAnsi" w:hAnsiTheme="minorHAnsi" w:cstheme="minorHAnsi"/>
          <w:sz w:val="22"/>
          <w:szCs w:val="22"/>
          <w:shd w:val="clear" w:color="auto" w:fill="FFFFFF"/>
        </w:rPr>
        <w:t>ošarkaškog igrališta kod</w:t>
      </w:r>
      <w:r w:rsidR="0072039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matične škole u Krapini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 na izmjenu </w:t>
      </w:r>
      <w:r w:rsidR="00142FC2">
        <w:rPr>
          <w:rFonts w:asciiTheme="minorHAnsi" w:hAnsiTheme="minorHAnsi" w:cstheme="minorHAnsi"/>
          <w:sz w:val="22"/>
          <w:szCs w:val="22"/>
          <w:shd w:val="clear" w:color="auto" w:fill="FFFFFF"/>
        </w:rPr>
        <w:t>i postavljanje ograde kod PŠ Donja Šemnica</w:t>
      </w:r>
      <w:r w:rsidR="00D618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 udio u izvršenju rashoda iznosi </w:t>
      </w:r>
      <w:r w:rsidR="004558B1">
        <w:rPr>
          <w:rFonts w:asciiTheme="minorHAnsi" w:hAnsiTheme="minorHAnsi" w:cstheme="minorHAnsi"/>
          <w:sz w:val="22"/>
          <w:szCs w:val="22"/>
          <w:shd w:val="clear" w:color="auto" w:fill="FFFFFF"/>
        </w:rPr>
        <w:t>5,69</w:t>
      </w:r>
      <w:r w:rsidR="00D618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%.</w:t>
      </w:r>
    </w:p>
    <w:p w14:paraId="73DEA22E" w14:textId="5B8E5501" w:rsidR="004558B1" w:rsidRDefault="004558B1" w:rsidP="00D6183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Rashodi za nabavu proizvedene dugotrajne imovine odnose se na  nabavu računala, pisača, učioničkog namještaja te interaktivnog ekrana, udio u izvršenju rashoda iznosi 1,22 %.</w:t>
      </w:r>
    </w:p>
    <w:p w14:paraId="2DF876B0" w14:textId="06A42BA2" w:rsidR="00AE50AA" w:rsidRDefault="00726228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Ostali rashodi nemaju značajnijeg utjecaja i udjela u izvršenju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7D9EFD7" w14:textId="77777777" w:rsidR="00E0775A" w:rsidRDefault="00E0775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005DC45" w14:textId="77777777" w:rsidR="00590DF6" w:rsidRDefault="00590DF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1772AF1" w14:textId="77777777" w:rsidR="00642245" w:rsidRDefault="0064224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2494976" w14:textId="77777777" w:rsidR="00A10DDC" w:rsidRDefault="00A10DDC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2B9323F" w14:textId="77777777" w:rsidR="004558B1" w:rsidRDefault="004558B1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54E3751" w14:textId="77777777" w:rsidR="008812CD" w:rsidRDefault="008812CD" w:rsidP="00CA77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F90E196" w14:textId="03080255" w:rsidR="00CA771C" w:rsidRDefault="00CA771C" w:rsidP="00CA77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Grafikon 3. Usporedba planiranih i izvršenih rashoda 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FED1850" w14:textId="67322194" w:rsidR="00E0775A" w:rsidRDefault="00E0775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  <w:lang w:eastAsia="hr-HR"/>
        </w:rPr>
        <w:drawing>
          <wp:inline distT="0" distB="0" distL="0" distR="0" wp14:anchorId="093F1DDC" wp14:editId="2513056C">
            <wp:extent cx="6096000" cy="502920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883564" w14:textId="77777777" w:rsidR="005F2C65" w:rsidRDefault="005F2C6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1AC2BA0" w14:textId="41A9D384" w:rsidR="007B458E" w:rsidRDefault="007B458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Grafikon 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5079F7" w:rsidRPr="00D418A7">
        <w:rPr>
          <w:rFonts w:asciiTheme="minorHAnsi" w:hAnsiTheme="minorHAnsi" w:cstheme="minorHAnsi"/>
          <w:sz w:val="22"/>
          <w:szCs w:val="22"/>
          <w:shd w:val="clear" w:color="auto" w:fill="FFFFFF"/>
        </w:rPr>
        <w:t>Udio u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izvršenim</w:t>
      </w:r>
      <w:r w:rsidR="005079F7" w:rsidRPr="00D418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rashodima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EEFD9B2" w14:textId="06D2C47C" w:rsidR="007B458E" w:rsidRDefault="007B458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  <w:lang w:eastAsia="hr-HR"/>
        </w:rPr>
        <mc:AlternateContent>
          <mc:Choice Requires="cx1">
            <w:drawing>
              <wp:inline distT="0" distB="0" distL="0" distR="0" wp14:anchorId="5EC87BD9" wp14:editId="7A6E0881">
                <wp:extent cx="5486400" cy="3200400"/>
                <wp:effectExtent l="0" t="0" r="0" b="0"/>
                <wp:docPr id="4" name="Grafikon 4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</wp:inline>
            </w:drawing>
          </mc:Choice>
          <mc:Fallback>
            <w:drawing>
              <wp:inline distT="0" distB="0" distL="0" distR="0" wp14:anchorId="5EC87BD9" wp14:editId="7A6E0881">
                <wp:extent cx="5486400" cy="3200400"/>
                <wp:effectExtent l="0" t="0" r="0" b="0"/>
                <wp:docPr id="4" name="Grafikon 4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on 4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6039491" w14:textId="6187AF63" w:rsidR="00EA7114" w:rsidRDefault="00EA7114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EA711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lastRenderedPageBreak/>
        <w:t>2.4. Račun prihoda i rashoda – prema izvorima financiranja</w:t>
      </w:r>
    </w:p>
    <w:p w14:paraId="7267349F" w14:textId="77777777" w:rsidR="00EA7114" w:rsidRDefault="00EA7114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7C5AAF92" w14:textId="77777777" w:rsidR="00EA7114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A7114">
        <w:rPr>
          <w:rFonts w:asciiTheme="minorHAnsi" w:hAnsiTheme="minorHAnsi" w:cstheme="minorHAnsi"/>
          <w:sz w:val="22"/>
          <w:szCs w:val="22"/>
          <w:shd w:val="clear" w:color="auto" w:fill="FFFFFF"/>
        </w:rPr>
        <w:t>Prikazani su prihodi i rashodi po pojedinom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izvoru financiranja i podaci o prenesenom višku/manjku iz prethodne godine. </w:t>
      </w:r>
    </w:p>
    <w:p w14:paraId="3E0E5EF6" w14:textId="00986B77" w:rsidR="00EA7114" w:rsidRPr="00EA7114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Vrijednosno najznačajniji prihodi, a time i rashodi su iz izvora pomoći koji obuhvaćaju plaće i naknade zaposlenika, prehranu učenika, plaće pomoćnika u nastavi</w:t>
      </w:r>
      <w:r w:rsidR="00E456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>i sl., nakon pomoći tu su  sredstva općih prihoda i primitaka (osnivač Grad Krapina), prihodi za posebne namjene (terenska nastava i izleti učenika), vlastit</w:t>
      </w:r>
      <w:r w:rsidR="00A67047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prihodi i donacije.</w:t>
      </w:r>
    </w:p>
    <w:p w14:paraId="485DE500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526FE7A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213A2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</w:t>
      </w:r>
      <w:r w:rsidR="00EA711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5</w:t>
      </w:r>
      <w:r w:rsidRPr="00213A2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Rashodi prema funkcijskoj klasifikaciji</w:t>
      </w:r>
    </w:p>
    <w:p w14:paraId="53FD611D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3A838AB9" w14:textId="1246AA5F" w:rsidR="00213A23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Brojčana oznaka funkcijske klasifikacije veže se uz rashode iskazane prema računima ekonomske klasifikacije svake aktivnosti i projekta. Klasifikacija naše škole je 091-osnovno</w:t>
      </w:r>
      <w:r w:rsidR="004106EF">
        <w:rPr>
          <w:rFonts w:asciiTheme="minorHAnsi" w:hAnsiTheme="minorHAnsi" w:cstheme="minorHAnsi"/>
          <w:sz w:val="22"/>
          <w:szCs w:val="22"/>
          <w:shd w:val="clear" w:color="auto" w:fill="FFFFFF"/>
        </w:rPr>
        <w:t>školsko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obrazovanje. Indeks izvršenja za razdoblje 01.01.-3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u odnosu na plan je </w:t>
      </w:r>
      <w:r w:rsidR="004558B1">
        <w:rPr>
          <w:rFonts w:asciiTheme="minorHAnsi" w:hAnsiTheme="minorHAnsi" w:cstheme="minorHAnsi"/>
          <w:sz w:val="22"/>
          <w:szCs w:val="22"/>
          <w:shd w:val="clear" w:color="auto" w:fill="FFFFFF"/>
        </w:rPr>
        <w:t>52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%.</w:t>
      </w:r>
    </w:p>
    <w:p w14:paraId="636DB857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345D958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A5104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2.6. Račun financiranja prema ekonomskoj klasifikaciji i izvorima financiranja</w:t>
      </w:r>
    </w:p>
    <w:p w14:paraId="29AFC27D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>Predaje se prazni, škola nema primitaka od financijske imovine i zaduživanja ni izdataka za financijsku imovinu i otplate zajmova.</w:t>
      </w:r>
    </w:p>
    <w:p w14:paraId="56C4EDC2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BE20CBB" w14:textId="77777777" w:rsidR="00213A23" w:rsidRDefault="00213A23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213A2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3. OBRAZLOŽENJE POSEBNOG DIJELA IZVJEŠTAJA O IZVRŠENJU FINANCIJSKOG PLANA</w:t>
      </w:r>
    </w:p>
    <w:p w14:paraId="0A0F594C" w14:textId="77777777" w:rsidR="007A45B7" w:rsidRDefault="007A45B7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09E179A7" w14:textId="77777777" w:rsidR="007A45B7" w:rsidRDefault="007A45B7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7A45B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3.1. Program A200301-Djelatnost osnovnih škola-minimalni financijski standard</w:t>
      </w:r>
    </w:p>
    <w:p w14:paraId="2A04A242" w14:textId="77777777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ED1865C" w14:textId="67CF9BDB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Izvor financiranja: </w:t>
      </w:r>
      <w:r w:rsidR="00D86857">
        <w:rPr>
          <w:rFonts w:asciiTheme="minorHAnsi" w:hAnsiTheme="minorHAnsi" w:cstheme="minorHAnsi"/>
          <w:sz w:val="22"/>
          <w:szCs w:val="22"/>
          <w:shd w:val="clear" w:color="auto" w:fill="FFFFFF"/>
        </w:rPr>
        <w:t>Prihodi za decentralizirane funkcije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-decentralizacija</w:t>
      </w:r>
    </w:p>
    <w:p w14:paraId="171C3CBC" w14:textId="5E98B194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Osnovni cilj: osiguravanje uvjeta za kvalitetno obrazovanje učenika</w:t>
      </w:r>
      <w:r w:rsidR="00A7156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poboljšanje kvalitete rada zaposlenika</w:t>
      </w:r>
    </w:p>
    <w:p w14:paraId="3152AC73" w14:textId="0FFA16E0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Program obuhvaća sljedeće: financiranje službenih putovanja i stručnog osposobljavanja zaposlenika, financiranje rashoda za materijal i energiju, rashoda za usluge (prijevoz učenika u i iz škole, tekuće i investicijsko održavanje objekata i opreme, komunalne usluge) te drugih rashoda neophodnih za rad i funkcioniranje školske ustanove</w:t>
      </w:r>
      <w:r w:rsidR="006373B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njenih zaposlenika i učenika.</w:t>
      </w:r>
    </w:p>
    <w:p w14:paraId="4BAE7B70" w14:textId="3BAB2D7A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Plan za 202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 godinu iznosi 15</w:t>
      </w:r>
      <w:r w:rsidR="00FD6C43">
        <w:rPr>
          <w:rFonts w:asciiTheme="minorHAnsi" w:hAnsiTheme="minorHAnsi" w:cstheme="minorHAnsi"/>
          <w:sz w:val="22"/>
          <w:szCs w:val="22"/>
          <w:shd w:val="clear" w:color="auto" w:fill="FFFFFF"/>
        </w:rPr>
        <w:t>9.246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 3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je ostvareno </w:t>
      </w:r>
      <w:r w:rsidR="00773713">
        <w:rPr>
          <w:rFonts w:asciiTheme="minorHAnsi" w:hAnsiTheme="minorHAnsi" w:cstheme="minorHAnsi"/>
          <w:sz w:val="22"/>
          <w:szCs w:val="22"/>
          <w:shd w:val="clear" w:color="auto" w:fill="FFFFFF"/>
        </w:rPr>
        <w:t>85.150,96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</w:t>
      </w:r>
      <w:r w:rsidR="004750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odnosno </w:t>
      </w:r>
      <w:r w:rsidR="00773713">
        <w:rPr>
          <w:rFonts w:asciiTheme="minorHAnsi" w:hAnsiTheme="minorHAnsi" w:cstheme="minorHAnsi"/>
          <w:sz w:val="22"/>
          <w:szCs w:val="22"/>
          <w:shd w:val="clear" w:color="auto" w:fill="FFFFFF"/>
        </w:rPr>
        <w:t>53</w:t>
      </w:r>
      <w:r w:rsidR="004750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%.</w:t>
      </w:r>
    </w:p>
    <w:p w14:paraId="7FC25259" w14:textId="77777777" w:rsidR="004750CF" w:rsidRDefault="004750CF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CDE184A" w14:textId="77777777" w:rsidR="004750CF" w:rsidRDefault="004750CF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4750CF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3.2. Program A200302-Djelatnost osnovnih škola-iznad zakonskog standarda</w:t>
      </w:r>
    </w:p>
    <w:p w14:paraId="4F56C7BE" w14:textId="77777777" w:rsidR="004750CF" w:rsidRDefault="004750CF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4F399D56" w14:textId="2522E270" w:rsidR="004750CF" w:rsidRDefault="006373B1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373B1"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Opći prihodi i primici-Grad iznad minimalnog financijskog standarda</w:t>
      </w:r>
    </w:p>
    <w:p w14:paraId="743600CD" w14:textId="71434B9A" w:rsidR="005E6B9A" w:rsidRDefault="005E6B9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Osnovni cilj: osiguravanje uvjeta za kvalitetno obrazovanje svih učenika </w:t>
      </w:r>
      <w:r w:rsidR="00C80831">
        <w:rPr>
          <w:rFonts w:asciiTheme="minorHAnsi" w:hAnsiTheme="minorHAnsi" w:cstheme="minorHAnsi"/>
          <w:sz w:val="22"/>
          <w:szCs w:val="22"/>
          <w:shd w:val="clear" w:color="auto" w:fill="FFFFFF"/>
        </w:rPr>
        <w:t>i poboljšanje kva</w:t>
      </w:r>
      <w:r w:rsidR="00FA2A47">
        <w:rPr>
          <w:rFonts w:asciiTheme="minorHAnsi" w:hAnsiTheme="minorHAnsi" w:cstheme="minorHAnsi"/>
          <w:sz w:val="22"/>
          <w:szCs w:val="22"/>
          <w:shd w:val="clear" w:color="auto" w:fill="FFFFFF"/>
        </w:rPr>
        <w:t>litete rada zaposlenika</w:t>
      </w:r>
    </w:p>
    <w:p w14:paraId="0D6CEEC4" w14:textId="70CA0D29" w:rsidR="005E6B9A" w:rsidRDefault="005E6B9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Program obuhvaća nabavu radnih bilježnica koje osnivač, Grad Krapina financira </w:t>
      </w:r>
      <w:r w:rsidR="004604D5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50 % iznosa,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troškov</w:t>
      </w:r>
      <w:r w:rsidR="006F3A7A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80E90">
        <w:rPr>
          <w:rFonts w:asciiTheme="minorHAnsi" w:hAnsiTheme="minorHAnsi" w:cstheme="minorHAnsi"/>
          <w:sz w:val="22"/>
          <w:szCs w:val="22"/>
          <w:shd w:val="clear" w:color="auto" w:fill="FFFFFF"/>
        </w:rPr>
        <w:t>projekta razmjene učenika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050A8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troškove sanacije </w:t>
      </w:r>
      <w:r w:rsidR="00773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košarkaškog igrališta kod matične škole u Krapini, ograde kod PŠ Donja Šemnica,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pokrivanje dijela troškova energenata jer decentralizirana sredstva nisu dostatna</w:t>
      </w:r>
      <w:r w:rsidR="00D65A5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školu plivanja za učenike trećih razreda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 </w:t>
      </w:r>
      <w:r w:rsidR="00D80E90">
        <w:rPr>
          <w:rFonts w:asciiTheme="minorHAnsi" w:hAnsiTheme="minorHAnsi" w:cstheme="minorHAnsi"/>
          <w:sz w:val="22"/>
          <w:szCs w:val="22"/>
          <w:shd w:val="clear" w:color="auto" w:fill="FFFFFF"/>
        </w:rPr>
        <w:t>rashode za usluge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e-tehničara koji tijekom godine pomaže učiteljima pri korištenju informatičke opreme. Ukupni plan za 202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godinu iznosi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773713">
        <w:rPr>
          <w:rFonts w:asciiTheme="minorHAnsi" w:hAnsiTheme="minorHAnsi" w:cstheme="minorHAnsi"/>
          <w:sz w:val="22"/>
          <w:szCs w:val="22"/>
          <w:shd w:val="clear" w:color="auto" w:fill="FFFFFF"/>
        </w:rPr>
        <w:t>2.330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a s 3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je ostvareno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5.</w:t>
      </w:r>
      <w:r w:rsidR="00773713">
        <w:rPr>
          <w:rFonts w:asciiTheme="minorHAnsi" w:hAnsiTheme="minorHAnsi" w:cstheme="minorHAnsi"/>
          <w:sz w:val="22"/>
          <w:szCs w:val="22"/>
          <w:shd w:val="clear" w:color="auto" w:fill="FFFFFF"/>
        </w:rPr>
        <w:t>054,00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odnosno </w:t>
      </w:r>
      <w:r w:rsidR="00773713">
        <w:rPr>
          <w:rFonts w:asciiTheme="minorHAnsi" w:hAnsiTheme="minorHAnsi" w:cstheme="minorHAnsi"/>
          <w:sz w:val="22"/>
          <w:szCs w:val="22"/>
          <w:shd w:val="clear" w:color="auto" w:fill="FFFFFF"/>
        </w:rPr>
        <w:t>12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 planiranog iznosa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8D45457" w14:textId="77777777" w:rsidR="00E0389E" w:rsidRDefault="00E0389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EECA7E4" w14:textId="1E48A9C7" w:rsidR="00E0389E" w:rsidRDefault="00E0389E" w:rsidP="00E038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Opći prihodi i primici-</w:t>
      </w:r>
      <w:r w:rsidR="00D153AA">
        <w:rPr>
          <w:rFonts w:asciiTheme="minorHAnsi" w:hAnsiTheme="minorHAnsi" w:cstheme="minorHAnsi"/>
          <w:sz w:val="22"/>
          <w:szCs w:val="22"/>
        </w:rPr>
        <w:t>prihodi od banke-</w:t>
      </w:r>
      <w:r>
        <w:rPr>
          <w:rFonts w:asciiTheme="minorHAnsi" w:hAnsiTheme="minorHAnsi" w:cstheme="minorHAnsi"/>
          <w:sz w:val="22"/>
          <w:szCs w:val="22"/>
        </w:rPr>
        <w:t xml:space="preserve">kamate </w:t>
      </w:r>
    </w:p>
    <w:p w14:paraId="17F1A302" w14:textId="77777777" w:rsidR="00E0389E" w:rsidRDefault="00E0389E" w:rsidP="00E038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4C1A8E99" w14:textId="599D1A47" w:rsidR="00E0389E" w:rsidRDefault="00E0389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Obuhvaćeno je pokrivanje dijela rashoda za bankarske usluge prihodima ostvarenim od PBZ-a od kamata, planirano je ukupno </w:t>
      </w:r>
      <w:r w:rsidR="00773713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 xml:space="preserve"> €, a s 3</w:t>
      </w:r>
      <w:r w:rsidR="00E06779">
        <w:rPr>
          <w:rFonts w:asciiTheme="minorHAnsi" w:hAnsiTheme="minorHAnsi" w:cstheme="minorHAnsi"/>
          <w:sz w:val="22"/>
          <w:szCs w:val="22"/>
        </w:rPr>
        <w:t>0</w:t>
      </w:r>
      <w:r w:rsidR="00D153AA">
        <w:rPr>
          <w:rFonts w:asciiTheme="minorHAnsi" w:hAnsiTheme="minorHAnsi" w:cstheme="minorHAnsi"/>
          <w:sz w:val="22"/>
          <w:szCs w:val="22"/>
        </w:rPr>
        <w:t>.</w:t>
      </w:r>
      <w:r w:rsidR="00E06779">
        <w:rPr>
          <w:rFonts w:asciiTheme="minorHAnsi" w:hAnsiTheme="minorHAnsi" w:cstheme="minorHAnsi"/>
          <w:sz w:val="22"/>
          <w:szCs w:val="22"/>
        </w:rPr>
        <w:t>06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E0677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ostvareno je </w:t>
      </w:r>
      <w:r w:rsidR="00773713">
        <w:rPr>
          <w:rFonts w:asciiTheme="minorHAnsi" w:hAnsiTheme="minorHAnsi" w:cstheme="minorHAnsi"/>
          <w:sz w:val="22"/>
          <w:szCs w:val="22"/>
        </w:rPr>
        <w:t>0,00</w:t>
      </w:r>
      <w:r>
        <w:rPr>
          <w:rFonts w:asciiTheme="minorHAnsi" w:hAnsiTheme="minorHAnsi" w:cstheme="minorHAnsi"/>
          <w:sz w:val="22"/>
          <w:szCs w:val="22"/>
        </w:rPr>
        <w:t xml:space="preserve"> €</w:t>
      </w:r>
      <w:r w:rsidR="00773713">
        <w:rPr>
          <w:rFonts w:asciiTheme="minorHAnsi" w:hAnsiTheme="minorHAnsi" w:cstheme="minorHAnsi"/>
          <w:sz w:val="22"/>
          <w:szCs w:val="22"/>
        </w:rPr>
        <w:t>.</w:t>
      </w:r>
    </w:p>
    <w:p w14:paraId="093F4AE9" w14:textId="77777777" w:rsidR="00D64D9C" w:rsidRDefault="00D64D9C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76F76A4" w14:textId="33C8E950" w:rsidR="005E6B9A" w:rsidRDefault="005E6B9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financiranja: Vlastiti prihodi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>-prihodi od iznajmljivanja školskog prostora</w:t>
      </w:r>
    </w:p>
    <w:p w14:paraId="77163A94" w14:textId="5BCB92AF" w:rsidR="00FA0B6B" w:rsidRDefault="00FA0B6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Osnovni cilj: poboljšavanje uvjeta rada zaposlenika te kvalitetno obrazovanje svih učenika</w:t>
      </w:r>
    </w:p>
    <w:p w14:paraId="7055D9DC" w14:textId="6BC55209" w:rsidR="00213A23" w:rsidRDefault="00FA0B6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Program obuhvaća pokrivanje rashoda za zaposlene, naknade učiteljima mentorima i članovima županijskih povjerenstava za županijska natjecanja jer sredstva koja se dobivaju od KZŽ nisu dostatna za isplatu tih naknada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>, te ostalih rashoda koji se ne pokrivaju decentraliziranim sredstvima. Ukupni plan za 202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god. iznosi </w:t>
      </w:r>
      <w:r w:rsidR="00773713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040F86">
        <w:rPr>
          <w:rFonts w:asciiTheme="minorHAnsi" w:hAnsiTheme="minorHAnsi" w:cstheme="minorHAnsi"/>
          <w:sz w:val="22"/>
          <w:szCs w:val="22"/>
          <w:shd w:val="clear" w:color="auto" w:fill="FFFFFF"/>
        </w:rPr>
        <w:t>.000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s 3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06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>202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je </w:t>
      </w:r>
      <w:r w:rsidR="009C22F0">
        <w:rPr>
          <w:rFonts w:asciiTheme="minorHAnsi" w:hAnsiTheme="minorHAnsi" w:cstheme="minorHAnsi"/>
          <w:sz w:val="22"/>
          <w:szCs w:val="22"/>
          <w:shd w:val="clear" w:color="auto" w:fill="FFFFFF"/>
        </w:rPr>
        <w:t>ostvar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eno  </w:t>
      </w:r>
      <w:r w:rsidR="00773713">
        <w:rPr>
          <w:rFonts w:asciiTheme="minorHAnsi" w:hAnsiTheme="minorHAnsi" w:cstheme="minorHAnsi"/>
          <w:sz w:val="22"/>
          <w:szCs w:val="22"/>
          <w:shd w:val="clear" w:color="auto" w:fill="FFFFFF"/>
        </w:rPr>
        <w:t>847,06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odnosno </w:t>
      </w:r>
      <w:r w:rsidR="00773713">
        <w:rPr>
          <w:rFonts w:asciiTheme="minorHAnsi" w:hAnsiTheme="minorHAnsi" w:cstheme="minorHAnsi"/>
          <w:sz w:val="22"/>
          <w:szCs w:val="22"/>
          <w:shd w:val="clear" w:color="auto" w:fill="FFFFFF"/>
        </w:rPr>
        <w:t>21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 planiranog iznosa.</w:t>
      </w:r>
    </w:p>
    <w:p w14:paraId="420F387A" w14:textId="490B1AB5" w:rsidR="00040F86" w:rsidRDefault="00040F8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Preneseni višak </w:t>
      </w:r>
      <w:r w:rsidR="00C772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iz prethodne godine iznosi </w:t>
      </w:r>
      <w:r w:rsidR="00773713">
        <w:rPr>
          <w:rFonts w:asciiTheme="minorHAnsi" w:hAnsiTheme="minorHAnsi" w:cstheme="minorHAnsi"/>
          <w:sz w:val="22"/>
          <w:szCs w:val="22"/>
          <w:shd w:val="clear" w:color="auto" w:fill="FFFFFF"/>
        </w:rPr>
        <w:t>2.000</w:t>
      </w:r>
      <w:r w:rsidR="00C772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i s 3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0.06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E06779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D153A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je </w:t>
      </w:r>
      <w:r w:rsidR="00773713">
        <w:rPr>
          <w:rFonts w:asciiTheme="minorHAnsi" w:hAnsiTheme="minorHAnsi" w:cstheme="minorHAnsi"/>
          <w:sz w:val="22"/>
          <w:szCs w:val="22"/>
          <w:shd w:val="clear" w:color="auto" w:fill="FFFFFF"/>
        </w:rPr>
        <w:t>ostvaren 0,00 €.</w:t>
      </w:r>
    </w:p>
    <w:p w14:paraId="3D77ED89" w14:textId="77777777" w:rsidR="00D64D9C" w:rsidRDefault="00D64D9C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4010AC54" w14:textId="2171F320" w:rsidR="00D64D9C" w:rsidRDefault="00D64D9C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D64D9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: Prihodi za posebne namjene </w:t>
      </w:r>
    </w:p>
    <w:p w14:paraId="0B39BF6F" w14:textId="6DC24F5D" w:rsidR="00D64D9C" w:rsidRDefault="00D64D9C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 osiguravanje uvjeta za kvalitetno obrazovanje svih učenika</w:t>
      </w:r>
    </w:p>
    <w:p w14:paraId="0680D3DA" w14:textId="39F11E8B" w:rsidR="00D64D9C" w:rsidRDefault="00D64D9C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Program obuhvaća rashod</w:t>
      </w:r>
      <w:r w:rsidR="00E74EA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terenske nastave i izlete učenika, prihodi se prikupljaju od roditelja. 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Ukupni plan za 202</w:t>
      </w:r>
      <w:r w:rsidR="00E0677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godinu iznosi </w:t>
      </w:r>
      <w:r w:rsidR="0077371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30.</w:t>
      </w:r>
      <w:r w:rsidR="00CF56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000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s 3</w:t>
      </w:r>
      <w:r w:rsidR="00E0677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E0677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06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.202</w:t>
      </w:r>
      <w:r w:rsidR="00E0677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je realizirano </w:t>
      </w:r>
      <w:r w:rsidR="0077371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15.071,00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odnosno </w:t>
      </w:r>
      <w:r w:rsidR="0077371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</w:t>
      </w:r>
      <w:r w:rsidR="00D153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% planiranog iznosa.</w:t>
      </w:r>
    </w:p>
    <w:p w14:paraId="077105F2" w14:textId="77777777" w:rsidR="00F94399" w:rsidRDefault="00F94399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2EF6B448" w14:textId="030FC726" w:rsidR="00120BE7" w:rsidRDefault="00120BE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financiranja: Pomoći</w:t>
      </w:r>
      <w:r w:rsidR="002D2F4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- tekuće pomoći proračunskim korisnicima iz proračuna koji im nije nadležan</w:t>
      </w:r>
    </w:p>
    <w:p w14:paraId="59077AF3" w14:textId="5A4B29B8" w:rsidR="00120BE7" w:rsidRDefault="00120BE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2D2F4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financiranje troškova plaća i ostalih materijalnih prava zaposlenika te financiranje plaća pomoćnika u nastavi čime se osiguravaju uvjeti za kvalitetno obrazovanje svih učenika, 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financiranje prehrane za sve učenike škole, sufinanciranje nabave radnih bilježnica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financiranje nabave radnih udžbenika,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financiranje nabave higijenskih potrepština za djevojčice</w:t>
      </w:r>
      <w:r w:rsidR="00EB7FC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7AF0B4BD" w14:textId="2247246A" w:rsidR="00F55AAE" w:rsidRDefault="002D2F4F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Program obuhvaća pokrivanje rashoda za plaće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 ostalih materijalnih prava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zaposlenika</w:t>
      </w:r>
      <w:r w:rsidR="00BF1DB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te financiranje troškova prehrane za sve učenike škole iz Državnog proračuna</w:t>
      </w:r>
      <w:r w:rsidR="00C745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nabav</w:t>
      </w:r>
      <w:r w:rsidR="00C745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C745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besplatnih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higijenskih potrepština za</w:t>
      </w:r>
      <w:r w:rsidR="00C745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djevojčice</w:t>
      </w:r>
      <w:r w:rsidR="00D153A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nabavu 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radni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h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udžbeni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ka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sve učenike škole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za šk.god.202</w:t>
      </w:r>
      <w:r w:rsidR="0077371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./202</w:t>
      </w:r>
      <w:r w:rsidR="0077371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6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06D65CC4" w14:textId="2906602E" w:rsidR="00F55AAE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Krapinsko-zagorska županija financira troškove plaća i ostalih materijalnih prava</w:t>
      </w:r>
      <w:r w:rsidR="002D2F4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pomoćnika u nastavi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-projekt Baltazar</w:t>
      </w:r>
      <w:r w:rsidR="00C31A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troškove županijskih natjecanja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 radionica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te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sufinancira nabav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radnih bilježnica 50%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97171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</w:p>
    <w:p w14:paraId="0E1BDF75" w14:textId="362EC40A" w:rsidR="002D2F4F" w:rsidRDefault="00C33C6D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Ukupni plan za 202</w:t>
      </w:r>
      <w:r w:rsidR="00E0677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godini iznosi </w:t>
      </w:r>
      <w:r w:rsidR="00C35B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2.</w:t>
      </w:r>
      <w:r w:rsidR="0077371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366.000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a s 3</w:t>
      </w:r>
      <w:r w:rsidR="00E0677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E0677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.202</w:t>
      </w:r>
      <w:r w:rsidR="00E0677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je </w:t>
      </w:r>
      <w:r w:rsidR="00C7719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ostvare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no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77371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1.229.699,34</w:t>
      </w:r>
      <w:r w:rsidR="00271A0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€, odnosno </w:t>
      </w:r>
      <w:r w:rsidR="0077371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52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% planiranog iznosa.</w:t>
      </w:r>
    </w:p>
    <w:p w14:paraId="3A79FA8D" w14:textId="77777777" w:rsidR="00A61175" w:rsidRDefault="00A61175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6938AE58" w14:textId="1F67B445" w:rsidR="00BF1DB8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financiranja: Donacije</w:t>
      </w:r>
    </w:p>
    <w:p w14:paraId="660CB0F9" w14:textId="313D102A" w:rsidR="00BF1DB8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 poboljšavanje uvjeta za kvalitetno obrazovanje svih učenika</w:t>
      </w:r>
    </w:p>
    <w:p w14:paraId="52FB70C1" w14:textId="20588528" w:rsidR="00F55AAE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Program obuhvaća pokrivanje rashoda</w:t>
      </w:r>
      <w:r w:rsidR="002F2FA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nabavu nastavnih sredstava i pomagala za </w:t>
      </w:r>
      <w:r w:rsidR="007F256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bolje od</w:t>
      </w:r>
      <w:r w:rsidR="009559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v</w:t>
      </w:r>
      <w:r w:rsidR="007F256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ijanje nastavnog plana i programa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plan za 202</w:t>
      </w:r>
      <w:r w:rsidR="00E0677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godinu iznosi </w:t>
      </w:r>
      <w:r w:rsidR="003C78E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500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 a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eno je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3C78E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418,60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odnosno </w:t>
      </w:r>
      <w:r w:rsidR="003C78E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8</w:t>
      </w:r>
      <w:r w:rsidR="007E689A" w:rsidRPr="00050A8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</w:t>
      </w:r>
      <w:r w:rsidR="003E1B85" w:rsidRPr="00050A8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%</w:t>
      </w:r>
      <w:r w:rsidR="00154DC7" w:rsidRPr="00050A8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</w:p>
    <w:p w14:paraId="0212FEBE" w14:textId="58985F11" w:rsidR="00154DC7" w:rsidRDefault="00154DC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3CE177A0" w14:textId="7E762967" w:rsidR="00154DC7" w:rsidRDefault="00154DC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financiranja: Prihodi od prodaje nefinancijske imovine i naknade s naslova osiguranja</w:t>
      </w:r>
    </w:p>
    <w:p w14:paraId="486EC6FF" w14:textId="4C71F015" w:rsidR="00154DC7" w:rsidRDefault="00154DC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Osnovni cilj: </w:t>
      </w:r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tekuće održavanje građevinskih objekata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9C22F0" w:rsidRP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pokrivanje nastalih šteta od osiguranja</w:t>
      </w:r>
    </w:p>
    <w:p w14:paraId="4A6B0245" w14:textId="776EA77E" w:rsidR="007E689A" w:rsidRDefault="003B2E10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Program obuhvaća rashode </w:t>
      </w:r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za tekuće održavanje građevinskih objekata sredstvima dobivenim od prodaje stana u PŠ D.Šemnica,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planirano je ukupno </w:t>
      </w:r>
      <w:r w:rsidR="00AD1A5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</w:t>
      </w:r>
      <w:r w:rsidR="001B35B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02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a s </w:t>
      </w:r>
      <w:r w:rsidR="007E68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3</w:t>
      </w:r>
      <w:r w:rsidR="00E0677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E0677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06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.202</w:t>
      </w:r>
      <w:r w:rsidR="00E0677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 ostvareno je </w:t>
      </w:r>
      <w:r w:rsidR="004400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0,00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</w:t>
      </w:r>
      <w:r w:rsidR="00AD1A5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40539043" w14:textId="77777777" w:rsidR="00AD1A53" w:rsidRDefault="00AD1A53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60C65123" w14:textId="0A005935" w:rsidR="003B2E10" w:rsidRPr="007E689A" w:rsidRDefault="003B2E10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3B2E10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>3.3.</w:t>
      </w:r>
      <w:r w:rsidR="009E70E4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 xml:space="preserve"> </w:t>
      </w:r>
      <w:r w:rsidRPr="003B2E10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>Program K200301-Građenje, adaptacija i sanacija te opremanje školskih objekata</w:t>
      </w:r>
    </w:p>
    <w:p w14:paraId="2893C329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</w:rPr>
      </w:pPr>
    </w:p>
    <w:p w14:paraId="575AB789" w14:textId="7DDBE0D8" w:rsidR="003B2E10" w:rsidRDefault="003B2E10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Izvor financiranja: </w:t>
      </w:r>
      <w:r w:rsidR="00D8685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rihodi </w:t>
      </w:r>
      <w:r w:rsidR="00D86857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decentraliziran</w:t>
      </w:r>
      <w:r w:rsidR="00D86857">
        <w:rPr>
          <w:rFonts w:asciiTheme="minorHAnsi" w:hAnsiTheme="minorHAnsi" w:cstheme="minorHAnsi"/>
          <w:sz w:val="22"/>
          <w:szCs w:val="22"/>
        </w:rPr>
        <w:t>e funkcije-decentralizacija</w:t>
      </w:r>
    </w:p>
    <w:p w14:paraId="1A5D9561" w14:textId="56A0EFAD" w:rsidR="003B2E10" w:rsidRDefault="003B2E10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069EF968" w14:textId="0FDBEFE7" w:rsidR="005A30C4" w:rsidRDefault="003B2E10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Planirana je nabava razne opreme za poboljšanje uvjeta rada za učenike i zaposlenike</w:t>
      </w:r>
      <w:r w:rsidR="005A30C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nabava knjiga za školsku knjižnicu</w:t>
      </w:r>
      <w:r w:rsidR="009F1044">
        <w:rPr>
          <w:rFonts w:asciiTheme="minorHAnsi" w:hAnsiTheme="minorHAnsi" w:cstheme="minorHAnsi"/>
          <w:sz w:val="22"/>
          <w:szCs w:val="22"/>
        </w:rPr>
        <w:t xml:space="preserve">. </w:t>
      </w:r>
      <w:r w:rsidR="005A30C4">
        <w:rPr>
          <w:rFonts w:asciiTheme="minorHAnsi" w:hAnsiTheme="minorHAnsi" w:cstheme="minorHAnsi"/>
          <w:sz w:val="22"/>
          <w:szCs w:val="22"/>
        </w:rPr>
        <w:t>Ukupno je planirano za 202</w:t>
      </w:r>
      <w:r w:rsidR="00E06779">
        <w:rPr>
          <w:rFonts w:asciiTheme="minorHAnsi" w:hAnsiTheme="minorHAnsi" w:cstheme="minorHAnsi"/>
          <w:sz w:val="22"/>
          <w:szCs w:val="22"/>
        </w:rPr>
        <w:t>5</w:t>
      </w:r>
      <w:r w:rsidR="005A30C4">
        <w:rPr>
          <w:rFonts w:asciiTheme="minorHAnsi" w:hAnsiTheme="minorHAnsi" w:cstheme="minorHAnsi"/>
          <w:sz w:val="22"/>
          <w:szCs w:val="22"/>
        </w:rPr>
        <w:t xml:space="preserve">. godinu </w:t>
      </w:r>
      <w:r w:rsidR="00AD1A53">
        <w:rPr>
          <w:rFonts w:asciiTheme="minorHAnsi" w:hAnsiTheme="minorHAnsi" w:cstheme="minorHAnsi"/>
          <w:sz w:val="22"/>
          <w:szCs w:val="22"/>
        </w:rPr>
        <w:t>14.0</w:t>
      </w:r>
      <w:r w:rsidR="009F1044">
        <w:rPr>
          <w:rFonts w:asciiTheme="minorHAnsi" w:hAnsiTheme="minorHAnsi" w:cstheme="minorHAnsi"/>
          <w:sz w:val="22"/>
          <w:szCs w:val="22"/>
        </w:rPr>
        <w:t>00</w:t>
      </w:r>
      <w:r w:rsidR="005A30C4">
        <w:rPr>
          <w:rFonts w:asciiTheme="minorHAnsi" w:hAnsiTheme="minorHAnsi" w:cstheme="minorHAnsi"/>
          <w:sz w:val="22"/>
          <w:szCs w:val="22"/>
        </w:rPr>
        <w:t xml:space="preserve"> €, </w:t>
      </w:r>
      <w:r w:rsidR="007E689A">
        <w:rPr>
          <w:rFonts w:asciiTheme="minorHAnsi" w:hAnsiTheme="minorHAnsi" w:cstheme="minorHAnsi"/>
          <w:sz w:val="22"/>
          <w:szCs w:val="22"/>
        </w:rPr>
        <w:t>i</w:t>
      </w:r>
      <w:r w:rsidR="009146BD">
        <w:rPr>
          <w:rFonts w:asciiTheme="minorHAnsi" w:hAnsiTheme="minorHAnsi" w:cstheme="minorHAnsi"/>
          <w:sz w:val="22"/>
          <w:szCs w:val="22"/>
        </w:rPr>
        <w:t xml:space="preserve"> s 3</w:t>
      </w:r>
      <w:r w:rsidR="00E06779">
        <w:rPr>
          <w:rFonts w:asciiTheme="minorHAnsi" w:hAnsiTheme="minorHAnsi" w:cstheme="minorHAnsi"/>
          <w:sz w:val="22"/>
          <w:szCs w:val="22"/>
        </w:rPr>
        <w:t>0</w:t>
      </w:r>
      <w:r w:rsidR="009146BD">
        <w:rPr>
          <w:rFonts w:asciiTheme="minorHAnsi" w:hAnsiTheme="minorHAnsi" w:cstheme="minorHAnsi"/>
          <w:sz w:val="22"/>
          <w:szCs w:val="22"/>
        </w:rPr>
        <w:t>.</w:t>
      </w:r>
      <w:r w:rsidR="00E06779">
        <w:rPr>
          <w:rFonts w:asciiTheme="minorHAnsi" w:hAnsiTheme="minorHAnsi" w:cstheme="minorHAnsi"/>
          <w:sz w:val="22"/>
          <w:szCs w:val="22"/>
        </w:rPr>
        <w:t>06</w:t>
      </w:r>
      <w:r w:rsidR="009146BD">
        <w:rPr>
          <w:rFonts w:asciiTheme="minorHAnsi" w:hAnsiTheme="minorHAnsi" w:cstheme="minorHAnsi"/>
          <w:sz w:val="22"/>
          <w:szCs w:val="22"/>
        </w:rPr>
        <w:t>.202</w:t>
      </w:r>
      <w:r w:rsidR="00E06779">
        <w:rPr>
          <w:rFonts w:asciiTheme="minorHAnsi" w:hAnsiTheme="minorHAnsi" w:cstheme="minorHAnsi"/>
          <w:sz w:val="22"/>
          <w:szCs w:val="22"/>
        </w:rPr>
        <w:t>5</w:t>
      </w:r>
      <w:r w:rsidR="009146BD">
        <w:rPr>
          <w:rFonts w:asciiTheme="minorHAnsi" w:hAnsiTheme="minorHAnsi" w:cstheme="minorHAnsi"/>
          <w:sz w:val="22"/>
          <w:szCs w:val="22"/>
        </w:rPr>
        <w:t xml:space="preserve">. </w:t>
      </w:r>
      <w:r w:rsidR="00E35898">
        <w:rPr>
          <w:rFonts w:asciiTheme="minorHAnsi" w:hAnsiTheme="minorHAnsi" w:cstheme="minorHAnsi"/>
          <w:sz w:val="22"/>
          <w:szCs w:val="22"/>
        </w:rPr>
        <w:t>je ostvareno</w:t>
      </w:r>
      <w:r w:rsidR="005A525D">
        <w:rPr>
          <w:rFonts w:asciiTheme="minorHAnsi" w:hAnsiTheme="minorHAnsi" w:cstheme="minorHAnsi"/>
          <w:sz w:val="22"/>
          <w:szCs w:val="22"/>
        </w:rPr>
        <w:t xml:space="preserve"> </w:t>
      </w:r>
      <w:r w:rsidR="00AD1A53">
        <w:rPr>
          <w:rFonts w:asciiTheme="minorHAnsi" w:hAnsiTheme="minorHAnsi" w:cstheme="minorHAnsi"/>
          <w:sz w:val="22"/>
          <w:szCs w:val="22"/>
        </w:rPr>
        <w:t>3.891,22</w:t>
      </w:r>
      <w:r w:rsidR="005A525D">
        <w:rPr>
          <w:rFonts w:asciiTheme="minorHAnsi" w:hAnsiTheme="minorHAnsi" w:cstheme="minorHAnsi"/>
          <w:sz w:val="22"/>
          <w:szCs w:val="22"/>
        </w:rPr>
        <w:t xml:space="preserve"> €</w:t>
      </w:r>
      <w:r w:rsidR="00E35898">
        <w:rPr>
          <w:rFonts w:asciiTheme="minorHAnsi" w:hAnsiTheme="minorHAnsi" w:cstheme="minorHAnsi"/>
          <w:sz w:val="22"/>
          <w:szCs w:val="22"/>
        </w:rPr>
        <w:t>,</w:t>
      </w:r>
      <w:r w:rsidR="009C22F0">
        <w:rPr>
          <w:rFonts w:asciiTheme="minorHAnsi" w:hAnsiTheme="minorHAnsi" w:cstheme="minorHAnsi"/>
          <w:sz w:val="22"/>
          <w:szCs w:val="22"/>
        </w:rPr>
        <w:t xml:space="preserve"> odnosno </w:t>
      </w:r>
      <w:r w:rsidR="00AD1A53">
        <w:rPr>
          <w:rFonts w:asciiTheme="minorHAnsi" w:hAnsiTheme="minorHAnsi" w:cstheme="minorHAnsi"/>
          <w:sz w:val="22"/>
          <w:szCs w:val="22"/>
        </w:rPr>
        <w:t>28</w:t>
      </w:r>
      <w:r w:rsidR="005A525D">
        <w:rPr>
          <w:rFonts w:asciiTheme="minorHAnsi" w:hAnsiTheme="minorHAnsi" w:cstheme="minorHAnsi"/>
          <w:sz w:val="22"/>
          <w:szCs w:val="22"/>
        </w:rPr>
        <w:t xml:space="preserve"> % planiranog iznosa</w:t>
      </w:r>
      <w:r w:rsidR="009C22F0">
        <w:rPr>
          <w:rFonts w:asciiTheme="minorHAnsi" w:hAnsiTheme="minorHAnsi" w:cstheme="minorHAnsi"/>
          <w:sz w:val="22"/>
          <w:szCs w:val="22"/>
        </w:rPr>
        <w:t>,</w:t>
      </w:r>
      <w:r w:rsidR="00E35898">
        <w:rPr>
          <w:rFonts w:asciiTheme="minorHAnsi" w:hAnsiTheme="minorHAnsi" w:cstheme="minorHAnsi"/>
          <w:sz w:val="22"/>
          <w:szCs w:val="22"/>
        </w:rPr>
        <w:t xml:space="preserve"> nabavljen</w:t>
      </w:r>
      <w:r w:rsidR="00050A82">
        <w:rPr>
          <w:rFonts w:asciiTheme="minorHAnsi" w:hAnsiTheme="minorHAnsi" w:cstheme="minorHAnsi"/>
          <w:sz w:val="22"/>
          <w:szCs w:val="22"/>
        </w:rPr>
        <w:t xml:space="preserve">a je računalna oprema, </w:t>
      </w:r>
      <w:r w:rsidR="00AD1A53">
        <w:rPr>
          <w:rFonts w:asciiTheme="minorHAnsi" w:hAnsiTheme="minorHAnsi" w:cstheme="minorHAnsi"/>
          <w:sz w:val="22"/>
          <w:szCs w:val="22"/>
        </w:rPr>
        <w:t>garderobni ormarići</w:t>
      </w:r>
      <w:r w:rsidR="00050A82">
        <w:rPr>
          <w:rFonts w:asciiTheme="minorHAnsi" w:hAnsiTheme="minorHAnsi" w:cstheme="minorHAnsi"/>
          <w:sz w:val="22"/>
          <w:szCs w:val="22"/>
        </w:rPr>
        <w:t xml:space="preserve"> i knjige za školsku knjižnicu.</w:t>
      </w:r>
    </w:p>
    <w:p w14:paraId="02E2C9AD" w14:textId="77777777" w:rsidR="00E35898" w:rsidRDefault="00E35898" w:rsidP="008308E5">
      <w:pPr>
        <w:rPr>
          <w:rFonts w:asciiTheme="minorHAnsi" w:hAnsiTheme="minorHAnsi" w:cstheme="minorHAnsi"/>
          <w:sz w:val="22"/>
          <w:szCs w:val="22"/>
        </w:rPr>
      </w:pPr>
    </w:p>
    <w:p w14:paraId="514C1189" w14:textId="468779E9" w:rsidR="00E35898" w:rsidRDefault="00E35898" w:rsidP="00E358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Opći prihodi i primici-Grad iznad minimalnog financijskog standarda</w:t>
      </w:r>
    </w:p>
    <w:p w14:paraId="6E499919" w14:textId="77777777" w:rsidR="00E35898" w:rsidRDefault="00E35898" w:rsidP="00E358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5AD24FCB" w14:textId="68D39609" w:rsidR="00E35898" w:rsidRDefault="00E35898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Planirana su sredstva u iznosu </w:t>
      </w:r>
      <w:r w:rsidR="00AD1A53">
        <w:rPr>
          <w:rFonts w:asciiTheme="minorHAnsi" w:hAnsiTheme="minorHAnsi" w:cstheme="minorHAnsi"/>
          <w:sz w:val="22"/>
          <w:szCs w:val="22"/>
        </w:rPr>
        <w:t>80.000</w:t>
      </w:r>
      <w:r>
        <w:rPr>
          <w:rFonts w:asciiTheme="minorHAnsi" w:hAnsiTheme="minorHAnsi" w:cstheme="minorHAnsi"/>
          <w:sz w:val="22"/>
          <w:szCs w:val="22"/>
        </w:rPr>
        <w:t xml:space="preserve"> €, </w:t>
      </w:r>
      <w:r w:rsidR="008B3EA7">
        <w:rPr>
          <w:rFonts w:asciiTheme="minorHAnsi" w:hAnsiTheme="minorHAnsi" w:cstheme="minorHAnsi"/>
          <w:sz w:val="22"/>
          <w:szCs w:val="22"/>
        </w:rPr>
        <w:t>a s 3</w:t>
      </w:r>
      <w:r w:rsidR="00E06779">
        <w:rPr>
          <w:rFonts w:asciiTheme="minorHAnsi" w:hAnsiTheme="minorHAnsi" w:cstheme="minorHAnsi"/>
          <w:sz w:val="22"/>
          <w:szCs w:val="22"/>
        </w:rPr>
        <w:t>0</w:t>
      </w:r>
      <w:r w:rsidR="008B3EA7">
        <w:rPr>
          <w:rFonts w:asciiTheme="minorHAnsi" w:hAnsiTheme="minorHAnsi" w:cstheme="minorHAnsi"/>
          <w:sz w:val="22"/>
          <w:szCs w:val="22"/>
        </w:rPr>
        <w:t>.</w:t>
      </w:r>
      <w:r w:rsidR="00E06779">
        <w:rPr>
          <w:rFonts w:asciiTheme="minorHAnsi" w:hAnsiTheme="minorHAnsi" w:cstheme="minorHAnsi"/>
          <w:sz w:val="22"/>
          <w:szCs w:val="22"/>
        </w:rPr>
        <w:t>06</w:t>
      </w:r>
      <w:r w:rsidR="008B3EA7">
        <w:rPr>
          <w:rFonts w:asciiTheme="minorHAnsi" w:hAnsiTheme="minorHAnsi" w:cstheme="minorHAnsi"/>
          <w:sz w:val="22"/>
          <w:szCs w:val="22"/>
        </w:rPr>
        <w:t>.202</w:t>
      </w:r>
      <w:r w:rsidR="00E06779">
        <w:rPr>
          <w:rFonts w:asciiTheme="minorHAnsi" w:hAnsiTheme="minorHAnsi" w:cstheme="minorHAnsi"/>
          <w:sz w:val="22"/>
          <w:szCs w:val="22"/>
        </w:rPr>
        <w:t>5</w:t>
      </w:r>
      <w:r w:rsidR="008B3EA7">
        <w:rPr>
          <w:rFonts w:asciiTheme="minorHAnsi" w:hAnsiTheme="minorHAnsi" w:cstheme="minorHAnsi"/>
          <w:sz w:val="22"/>
          <w:szCs w:val="22"/>
        </w:rPr>
        <w:t>. je ostvareno</w:t>
      </w:r>
      <w:r w:rsidR="00087EB8">
        <w:rPr>
          <w:rFonts w:asciiTheme="minorHAnsi" w:hAnsiTheme="minorHAnsi" w:cstheme="minorHAnsi"/>
          <w:sz w:val="22"/>
          <w:szCs w:val="22"/>
        </w:rPr>
        <w:t xml:space="preserve"> </w:t>
      </w:r>
      <w:r w:rsidR="00AD1A53">
        <w:rPr>
          <w:rFonts w:asciiTheme="minorHAnsi" w:hAnsiTheme="minorHAnsi" w:cstheme="minorHAnsi"/>
          <w:sz w:val="22"/>
          <w:szCs w:val="22"/>
        </w:rPr>
        <w:t>81.746,02</w:t>
      </w:r>
      <w:r w:rsidR="008B3EA7">
        <w:rPr>
          <w:rFonts w:asciiTheme="minorHAnsi" w:hAnsiTheme="minorHAnsi" w:cstheme="minorHAnsi"/>
          <w:sz w:val="22"/>
          <w:szCs w:val="22"/>
        </w:rPr>
        <w:t xml:space="preserve"> €, odnosno </w:t>
      </w:r>
      <w:r w:rsidR="00AD1A53">
        <w:rPr>
          <w:rFonts w:asciiTheme="minorHAnsi" w:hAnsiTheme="minorHAnsi" w:cstheme="minorHAnsi"/>
          <w:sz w:val="22"/>
          <w:szCs w:val="22"/>
        </w:rPr>
        <w:t>2</w:t>
      </w:r>
      <w:r w:rsidR="00A86F1F">
        <w:rPr>
          <w:rFonts w:asciiTheme="minorHAnsi" w:hAnsiTheme="minorHAnsi" w:cstheme="minorHAnsi"/>
          <w:sz w:val="22"/>
          <w:szCs w:val="22"/>
        </w:rPr>
        <w:t xml:space="preserve">% </w:t>
      </w:r>
      <w:r w:rsidR="00AD1A53">
        <w:rPr>
          <w:rFonts w:asciiTheme="minorHAnsi" w:hAnsiTheme="minorHAnsi" w:cstheme="minorHAnsi"/>
          <w:sz w:val="22"/>
          <w:szCs w:val="22"/>
        </w:rPr>
        <w:t xml:space="preserve">više od </w:t>
      </w:r>
      <w:r w:rsidR="00A86F1F">
        <w:rPr>
          <w:rFonts w:asciiTheme="minorHAnsi" w:hAnsiTheme="minorHAnsi" w:cstheme="minorHAnsi"/>
          <w:sz w:val="22"/>
          <w:szCs w:val="22"/>
        </w:rPr>
        <w:t>planiranog iznosa</w:t>
      </w:r>
      <w:r w:rsidR="008B3EA7">
        <w:rPr>
          <w:rFonts w:asciiTheme="minorHAnsi" w:hAnsiTheme="minorHAnsi" w:cstheme="minorHAnsi"/>
          <w:sz w:val="22"/>
          <w:szCs w:val="22"/>
        </w:rPr>
        <w:t xml:space="preserve"> </w:t>
      </w:r>
      <w:r w:rsidR="003E402C">
        <w:rPr>
          <w:rFonts w:asciiTheme="minorHAnsi" w:hAnsiTheme="minorHAnsi" w:cstheme="minorHAnsi"/>
          <w:sz w:val="22"/>
          <w:szCs w:val="22"/>
        </w:rPr>
        <w:t xml:space="preserve">za radove na sanaciji </w:t>
      </w:r>
      <w:r w:rsidR="00AD1A53">
        <w:rPr>
          <w:rFonts w:asciiTheme="minorHAnsi" w:hAnsiTheme="minorHAnsi" w:cstheme="minorHAnsi"/>
          <w:sz w:val="22"/>
          <w:szCs w:val="22"/>
        </w:rPr>
        <w:t>košarkaškog igrališta te ograde kog PŠ Donja Šemnica.</w:t>
      </w:r>
      <w:r w:rsidR="008B3EA7">
        <w:rPr>
          <w:rFonts w:asciiTheme="minorHAnsi" w:hAnsiTheme="minorHAnsi" w:cstheme="minorHAnsi"/>
          <w:sz w:val="22"/>
          <w:szCs w:val="22"/>
        </w:rPr>
        <w:t xml:space="preserve"> </w:t>
      </w:r>
      <w:r w:rsidR="003E402C">
        <w:rPr>
          <w:rFonts w:asciiTheme="minorHAnsi" w:hAnsiTheme="minorHAnsi" w:cstheme="minorHAnsi"/>
          <w:sz w:val="22"/>
          <w:szCs w:val="22"/>
        </w:rPr>
        <w:t xml:space="preserve"> </w:t>
      </w:r>
      <w:r w:rsidR="00612771">
        <w:rPr>
          <w:rFonts w:asciiTheme="minorHAnsi" w:hAnsiTheme="minorHAnsi" w:cstheme="minorHAnsi"/>
          <w:sz w:val="22"/>
          <w:szCs w:val="22"/>
        </w:rPr>
        <w:lastRenderedPageBreak/>
        <w:t>Izmjenama i dopunama financijskog plana za 2025. biti će od strane osnivača osigurana dodatna sredstva za  pokrivanje cijelog troška sanacije košarkaškog igrališta.</w:t>
      </w:r>
    </w:p>
    <w:p w14:paraId="733D7BFD" w14:textId="77777777" w:rsidR="00E35898" w:rsidRDefault="00E35898" w:rsidP="008308E5">
      <w:pPr>
        <w:rPr>
          <w:rFonts w:asciiTheme="minorHAnsi" w:hAnsiTheme="minorHAnsi" w:cstheme="minorHAnsi"/>
          <w:sz w:val="22"/>
          <w:szCs w:val="22"/>
        </w:rPr>
      </w:pPr>
    </w:p>
    <w:p w14:paraId="7D5E4CB7" w14:textId="04B4A7FD" w:rsidR="005A30C4" w:rsidRDefault="005A30C4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Vlastiti prihodi-iznajmljivanje školskog prostora</w:t>
      </w:r>
    </w:p>
    <w:p w14:paraId="537EC3F0" w14:textId="63724519" w:rsidR="005A30C4" w:rsidRDefault="005A30C4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4DABA702" w14:textId="77777777" w:rsidR="00AD1A53" w:rsidRDefault="005A30C4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Planirano je ukupno za 202</w:t>
      </w:r>
      <w:r w:rsidR="00E0677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godinu </w:t>
      </w:r>
      <w:r w:rsidR="00AD1A53">
        <w:rPr>
          <w:rFonts w:asciiTheme="minorHAnsi" w:hAnsiTheme="minorHAnsi" w:cstheme="minorHAnsi"/>
          <w:sz w:val="22"/>
          <w:szCs w:val="22"/>
        </w:rPr>
        <w:t>5</w:t>
      </w:r>
      <w:r w:rsidR="007C536F">
        <w:rPr>
          <w:rFonts w:asciiTheme="minorHAnsi" w:hAnsiTheme="minorHAnsi" w:cstheme="minorHAnsi"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 xml:space="preserve"> €, a s 3</w:t>
      </w:r>
      <w:r w:rsidR="00E06779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</w:t>
      </w:r>
      <w:r w:rsidR="00E06779">
        <w:rPr>
          <w:rFonts w:asciiTheme="minorHAnsi" w:hAnsiTheme="minorHAnsi" w:cstheme="minorHAnsi"/>
          <w:sz w:val="22"/>
          <w:szCs w:val="22"/>
        </w:rPr>
        <w:t>06</w:t>
      </w:r>
      <w:r>
        <w:rPr>
          <w:rFonts w:asciiTheme="minorHAnsi" w:hAnsiTheme="minorHAnsi" w:cstheme="minorHAnsi"/>
          <w:sz w:val="22"/>
          <w:szCs w:val="22"/>
        </w:rPr>
        <w:t>.2</w:t>
      </w:r>
      <w:r w:rsidR="007C536F">
        <w:rPr>
          <w:rFonts w:asciiTheme="minorHAnsi" w:hAnsiTheme="minorHAnsi" w:cstheme="minorHAnsi"/>
          <w:sz w:val="22"/>
          <w:szCs w:val="22"/>
        </w:rPr>
        <w:t>02</w:t>
      </w:r>
      <w:r w:rsidR="00E0677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 je ostvareno</w:t>
      </w:r>
      <w:r w:rsidR="00087EB8">
        <w:rPr>
          <w:rFonts w:asciiTheme="minorHAnsi" w:hAnsiTheme="minorHAnsi" w:cstheme="minorHAnsi"/>
          <w:sz w:val="22"/>
          <w:szCs w:val="22"/>
        </w:rPr>
        <w:t xml:space="preserve"> </w:t>
      </w:r>
      <w:r w:rsidR="00AD1A53">
        <w:rPr>
          <w:rFonts w:asciiTheme="minorHAnsi" w:hAnsiTheme="minorHAnsi" w:cstheme="minorHAnsi"/>
          <w:sz w:val="22"/>
          <w:szCs w:val="22"/>
        </w:rPr>
        <w:t>0,00</w:t>
      </w:r>
      <w:r>
        <w:rPr>
          <w:rFonts w:asciiTheme="minorHAnsi" w:hAnsiTheme="minorHAnsi" w:cstheme="minorHAnsi"/>
          <w:sz w:val="22"/>
          <w:szCs w:val="22"/>
        </w:rPr>
        <w:t xml:space="preserve"> €</w:t>
      </w:r>
      <w:r w:rsidR="00AD1A53">
        <w:rPr>
          <w:rFonts w:asciiTheme="minorHAnsi" w:hAnsiTheme="minorHAnsi" w:cstheme="minorHAnsi"/>
          <w:sz w:val="22"/>
          <w:szCs w:val="22"/>
        </w:rPr>
        <w:t>.</w:t>
      </w:r>
    </w:p>
    <w:p w14:paraId="2D2D57E6" w14:textId="00385BA1" w:rsidR="00DD14D8" w:rsidRDefault="00AD1A53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Planira se</w:t>
      </w:r>
      <w:r w:rsidR="00087EB8">
        <w:rPr>
          <w:rFonts w:asciiTheme="minorHAnsi" w:hAnsiTheme="minorHAnsi" w:cstheme="minorHAnsi"/>
          <w:sz w:val="22"/>
          <w:szCs w:val="22"/>
        </w:rPr>
        <w:t xml:space="preserve"> nabav</w:t>
      </w:r>
      <w:r>
        <w:rPr>
          <w:rFonts w:asciiTheme="minorHAnsi" w:hAnsiTheme="minorHAnsi" w:cstheme="minorHAnsi"/>
          <w:sz w:val="22"/>
          <w:szCs w:val="22"/>
        </w:rPr>
        <w:t>a</w:t>
      </w:r>
      <w:r w:rsidR="00501204">
        <w:rPr>
          <w:rFonts w:asciiTheme="minorHAnsi" w:hAnsiTheme="minorHAnsi" w:cstheme="minorHAnsi"/>
          <w:sz w:val="22"/>
          <w:szCs w:val="22"/>
        </w:rPr>
        <w:t xml:space="preserve"> raznih uređaja i opreme potrebne za nesmetano održavanje nastave</w:t>
      </w:r>
      <w:r w:rsidR="00087EB8">
        <w:rPr>
          <w:rFonts w:asciiTheme="minorHAnsi" w:hAnsiTheme="minorHAnsi" w:cstheme="minorHAnsi"/>
          <w:sz w:val="22"/>
          <w:szCs w:val="22"/>
        </w:rPr>
        <w:t>.</w:t>
      </w:r>
    </w:p>
    <w:p w14:paraId="18FBE00F" w14:textId="77777777" w:rsidR="00087EB8" w:rsidRDefault="00087EB8" w:rsidP="005A30C4">
      <w:pPr>
        <w:rPr>
          <w:rFonts w:asciiTheme="minorHAnsi" w:hAnsiTheme="minorHAnsi" w:cstheme="minorHAnsi"/>
          <w:sz w:val="22"/>
          <w:szCs w:val="22"/>
        </w:rPr>
      </w:pPr>
    </w:p>
    <w:p w14:paraId="5CC7A91F" w14:textId="09D16544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Prihodi za posebne namjene</w:t>
      </w:r>
    </w:p>
    <w:p w14:paraId="491FFF48" w14:textId="77777777" w:rsidR="007C536F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škole</w:t>
      </w:r>
    </w:p>
    <w:p w14:paraId="42C0A8D6" w14:textId="280F1EFE" w:rsidR="00DD14D8" w:rsidRDefault="00C2452D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C536F">
        <w:rPr>
          <w:rFonts w:asciiTheme="minorHAnsi" w:hAnsiTheme="minorHAnsi" w:cstheme="minorHAnsi"/>
          <w:sz w:val="22"/>
          <w:szCs w:val="22"/>
        </w:rPr>
        <w:t>lanirano je ukupno za 202</w:t>
      </w:r>
      <w:r w:rsidR="00E06779">
        <w:rPr>
          <w:rFonts w:asciiTheme="minorHAnsi" w:hAnsiTheme="minorHAnsi" w:cstheme="minorHAnsi"/>
          <w:sz w:val="22"/>
          <w:szCs w:val="22"/>
        </w:rPr>
        <w:t>5</w:t>
      </w:r>
      <w:r w:rsidR="007C536F">
        <w:rPr>
          <w:rFonts w:asciiTheme="minorHAnsi" w:hAnsiTheme="minorHAnsi" w:cstheme="minorHAnsi"/>
          <w:sz w:val="22"/>
          <w:szCs w:val="22"/>
        </w:rPr>
        <w:t xml:space="preserve">. godinu </w:t>
      </w:r>
      <w:r w:rsidR="00501204">
        <w:rPr>
          <w:rFonts w:asciiTheme="minorHAnsi" w:hAnsiTheme="minorHAnsi" w:cstheme="minorHAnsi"/>
          <w:sz w:val="22"/>
          <w:szCs w:val="22"/>
        </w:rPr>
        <w:t>10</w:t>
      </w:r>
      <w:r w:rsidR="007C536F">
        <w:rPr>
          <w:rFonts w:asciiTheme="minorHAnsi" w:hAnsiTheme="minorHAnsi" w:cstheme="minorHAnsi"/>
          <w:sz w:val="22"/>
          <w:szCs w:val="22"/>
        </w:rPr>
        <w:t xml:space="preserve">0 €, za </w:t>
      </w:r>
      <w:r w:rsidR="001C5B10">
        <w:rPr>
          <w:rFonts w:asciiTheme="minorHAnsi" w:hAnsiTheme="minorHAnsi" w:cstheme="minorHAnsi"/>
          <w:sz w:val="22"/>
          <w:szCs w:val="22"/>
        </w:rPr>
        <w:t>nabavu</w:t>
      </w:r>
      <w:r w:rsidR="007C536F">
        <w:rPr>
          <w:rFonts w:asciiTheme="minorHAnsi" w:hAnsiTheme="minorHAnsi" w:cstheme="minorHAnsi"/>
          <w:sz w:val="22"/>
          <w:szCs w:val="22"/>
        </w:rPr>
        <w:t xml:space="preserve"> knjiga za školsku knjižnicu od sredstava </w:t>
      </w:r>
      <w:r w:rsidR="001C5B10">
        <w:rPr>
          <w:rFonts w:asciiTheme="minorHAnsi" w:hAnsiTheme="minorHAnsi" w:cstheme="minorHAnsi"/>
          <w:sz w:val="22"/>
          <w:szCs w:val="22"/>
        </w:rPr>
        <w:t>plaćene zakasnine u šk</w:t>
      </w:r>
      <w:r w:rsidR="006D4D34">
        <w:rPr>
          <w:rFonts w:asciiTheme="minorHAnsi" w:hAnsiTheme="minorHAnsi" w:cstheme="minorHAnsi"/>
          <w:sz w:val="22"/>
          <w:szCs w:val="22"/>
        </w:rPr>
        <w:t xml:space="preserve">olskoj </w:t>
      </w:r>
      <w:r w:rsidR="001C5B10">
        <w:rPr>
          <w:rFonts w:asciiTheme="minorHAnsi" w:hAnsiTheme="minorHAnsi" w:cstheme="minorHAnsi"/>
          <w:sz w:val="22"/>
          <w:szCs w:val="22"/>
        </w:rPr>
        <w:t>knjižnici</w:t>
      </w:r>
      <w:r w:rsidR="006D4D34">
        <w:rPr>
          <w:rFonts w:asciiTheme="minorHAnsi" w:hAnsiTheme="minorHAnsi" w:cstheme="minorHAnsi"/>
          <w:sz w:val="22"/>
          <w:szCs w:val="22"/>
        </w:rPr>
        <w:t xml:space="preserve">, s </w:t>
      </w:r>
      <w:r w:rsidR="00087EB8">
        <w:rPr>
          <w:rFonts w:asciiTheme="minorHAnsi" w:hAnsiTheme="minorHAnsi" w:cstheme="minorHAnsi"/>
          <w:sz w:val="22"/>
          <w:szCs w:val="22"/>
        </w:rPr>
        <w:t>3</w:t>
      </w:r>
      <w:r w:rsidR="00E06779">
        <w:rPr>
          <w:rFonts w:asciiTheme="minorHAnsi" w:hAnsiTheme="minorHAnsi" w:cstheme="minorHAnsi"/>
          <w:sz w:val="22"/>
          <w:szCs w:val="22"/>
        </w:rPr>
        <w:t>0</w:t>
      </w:r>
      <w:r w:rsidR="006D4D34">
        <w:rPr>
          <w:rFonts w:asciiTheme="minorHAnsi" w:hAnsiTheme="minorHAnsi" w:cstheme="minorHAnsi"/>
          <w:sz w:val="22"/>
          <w:szCs w:val="22"/>
        </w:rPr>
        <w:t>.</w:t>
      </w:r>
      <w:r w:rsidR="00E06779">
        <w:rPr>
          <w:rFonts w:asciiTheme="minorHAnsi" w:hAnsiTheme="minorHAnsi" w:cstheme="minorHAnsi"/>
          <w:sz w:val="22"/>
          <w:szCs w:val="22"/>
        </w:rPr>
        <w:t>06</w:t>
      </w:r>
      <w:r w:rsidR="006D4D34">
        <w:rPr>
          <w:rFonts w:asciiTheme="minorHAnsi" w:hAnsiTheme="minorHAnsi" w:cstheme="minorHAnsi"/>
          <w:sz w:val="22"/>
          <w:szCs w:val="22"/>
        </w:rPr>
        <w:t>.202</w:t>
      </w:r>
      <w:r w:rsidR="00E06779">
        <w:rPr>
          <w:rFonts w:asciiTheme="minorHAnsi" w:hAnsiTheme="minorHAnsi" w:cstheme="minorHAnsi"/>
          <w:sz w:val="22"/>
          <w:szCs w:val="22"/>
        </w:rPr>
        <w:t>5</w:t>
      </w:r>
      <w:r w:rsidR="006D4D34">
        <w:rPr>
          <w:rFonts w:asciiTheme="minorHAnsi" w:hAnsiTheme="minorHAnsi" w:cstheme="minorHAnsi"/>
          <w:sz w:val="22"/>
          <w:szCs w:val="22"/>
        </w:rPr>
        <w:t xml:space="preserve">. je </w:t>
      </w:r>
      <w:r w:rsidR="00087EB8">
        <w:rPr>
          <w:rFonts w:asciiTheme="minorHAnsi" w:hAnsiTheme="minorHAnsi" w:cstheme="minorHAnsi"/>
          <w:sz w:val="22"/>
          <w:szCs w:val="22"/>
        </w:rPr>
        <w:t xml:space="preserve">ostvareno </w:t>
      </w:r>
      <w:r w:rsidR="00501204">
        <w:rPr>
          <w:rFonts w:asciiTheme="minorHAnsi" w:hAnsiTheme="minorHAnsi" w:cstheme="minorHAnsi"/>
          <w:sz w:val="22"/>
          <w:szCs w:val="22"/>
        </w:rPr>
        <w:t>2</w:t>
      </w:r>
      <w:r w:rsidR="00087EB8">
        <w:rPr>
          <w:rFonts w:asciiTheme="minorHAnsi" w:hAnsiTheme="minorHAnsi" w:cstheme="minorHAnsi"/>
          <w:sz w:val="22"/>
          <w:szCs w:val="22"/>
        </w:rPr>
        <w:t>2</w:t>
      </w:r>
      <w:r w:rsidR="00501204">
        <w:rPr>
          <w:rFonts w:asciiTheme="minorHAnsi" w:hAnsiTheme="minorHAnsi" w:cstheme="minorHAnsi"/>
          <w:sz w:val="22"/>
          <w:szCs w:val="22"/>
        </w:rPr>
        <w:t>,20</w:t>
      </w:r>
      <w:r w:rsidR="00087EB8">
        <w:rPr>
          <w:rFonts w:asciiTheme="minorHAnsi" w:hAnsiTheme="minorHAnsi" w:cstheme="minorHAnsi"/>
          <w:sz w:val="22"/>
          <w:szCs w:val="22"/>
        </w:rPr>
        <w:t xml:space="preserve"> €, odnosno </w:t>
      </w:r>
      <w:r w:rsidR="00501204">
        <w:rPr>
          <w:rFonts w:asciiTheme="minorHAnsi" w:hAnsiTheme="minorHAnsi" w:cstheme="minorHAnsi"/>
          <w:sz w:val="22"/>
          <w:szCs w:val="22"/>
        </w:rPr>
        <w:t>22</w:t>
      </w:r>
      <w:r w:rsidR="00087EB8">
        <w:rPr>
          <w:rFonts w:asciiTheme="minorHAnsi" w:hAnsiTheme="minorHAnsi" w:cstheme="minorHAnsi"/>
          <w:sz w:val="22"/>
          <w:szCs w:val="22"/>
        </w:rPr>
        <w:t xml:space="preserve"> % planiranog iznosa</w:t>
      </w:r>
      <w:r w:rsidR="006D4D34">
        <w:rPr>
          <w:rFonts w:asciiTheme="minorHAnsi" w:hAnsiTheme="minorHAnsi" w:cstheme="minorHAnsi"/>
          <w:sz w:val="22"/>
          <w:szCs w:val="22"/>
        </w:rPr>
        <w:t>.</w:t>
      </w:r>
    </w:p>
    <w:p w14:paraId="1873E3BA" w14:textId="77777777" w:rsidR="001C5B10" w:rsidRDefault="001C5B10" w:rsidP="005A30C4">
      <w:pPr>
        <w:rPr>
          <w:rFonts w:asciiTheme="minorHAnsi" w:hAnsiTheme="minorHAnsi" w:cstheme="minorHAnsi"/>
          <w:sz w:val="22"/>
          <w:szCs w:val="22"/>
        </w:rPr>
      </w:pPr>
    </w:p>
    <w:p w14:paraId="2431FAD4" w14:textId="29E6956C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Pomoći</w:t>
      </w:r>
    </w:p>
    <w:p w14:paraId="0C12E539" w14:textId="7D123E28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 te poboljšanje uvjeta za kvalitetno obrazovanje za sve učenike</w:t>
      </w:r>
    </w:p>
    <w:p w14:paraId="305A6C5B" w14:textId="7B938128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Odnosi se na nabavu udžbenika za sve učenike škole</w:t>
      </w:r>
      <w:r w:rsidR="00501204">
        <w:rPr>
          <w:rFonts w:asciiTheme="minorHAnsi" w:hAnsiTheme="minorHAnsi" w:cstheme="minorHAnsi"/>
          <w:sz w:val="22"/>
          <w:szCs w:val="22"/>
        </w:rPr>
        <w:t>.</w:t>
      </w:r>
    </w:p>
    <w:p w14:paraId="7BC94433" w14:textId="2DC1922F" w:rsidR="00C2452D" w:rsidRDefault="00C2452D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Planirano je ukupno </w:t>
      </w:r>
      <w:r w:rsidR="00501204">
        <w:rPr>
          <w:rFonts w:asciiTheme="minorHAnsi" w:hAnsiTheme="minorHAnsi" w:cstheme="minorHAnsi"/>
          <w:sz w:val="22"/>
          <w:szCs w:val="22"/>
        </w:rPr>
        <w:t>6</w:t>
      </w:r>
      <w:r w:rsidR="001C5B10">
        <w:rPr>
          <w:rFonts w:asciiTheme="minorHAnsi" w:hAnsiTheme="minorHAnsi" w:cstheme="minorHAnsi"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 xml:space="preserve"> €, a s 3</w:t>
      </w:r>
      <w:r w:rsidR="00E06779">
        <w:rPr>
          <w:rFonts w:asciiTheme="minorHAnsi" w:hAnsiTheme="minorHAnsi" w:cstheme="minorHAnsi"/>
          <w:sz w:val="22"/>
          <w:szCs w:val="22"/>
        </w:rPr>
        <w:t>0</w:t>
      </w:r>
      <w:r w:rsidR="001C5B10">
        <w:rPr>
          <w:rFonts w:asciiTheme="minorHAnsi" w:hAnsiTheme="minorHAnsi" w:cstheme="minorHAnsi"/>
          <w:sz w:val="22"/>
          <w:szCs w:val="22"/>
        </w:rPr>
        <w:t>.</w:t>
      </w:r>
      <w:r w:rsidR="00E06779">
        <w:rPr>
          <w:rFonts w:asciiTheme="minorHAnsi" w:hAnsiTheme="minorHAnsi" w:cstheme="minorHAnsi"/>
          <w:sz w:val="22"/>
          <w:szCs w:val="22"/>
        </w:rPr>
        <w:t>06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E0677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 je ostvareno</w:t>
      </w:r>
      <w:r w:rsidR="00DA7710">
        <w:rPr>
          <w:rFonts w:asciiTheme="minorHAnsi" w:hAnsiTheme="minorHAnsi" w:cstheme="minorHAnsi"/>
          <w:sz w:val="22"/>
          <w:szCs w:val="22"/>
        </w:rPr>
        <w:t xml:space="preserve"> </w:t>
      </w:r>
      <w:r w:rsidR="00087EB8">
        <w:rPr>
          <w:rFonts w:asciiTheme="minorHAnsi" w:hAnsiTheme="minorHAnsi" w:cstheme="minorHAnsi"/>
          <w:sz w:val="22"/>
          <w:szCs w:val="22"/>
        </w:rPr>
        <w:t>1</w:t>
      </w:r>
      <w:r w:rsidR="00501204">
        <w:rPr>
          <w:rFonts w:asciiTheme="minorHAnsi" w:hAnsiTheme="minorHAnsi" w:cstheme="minorHAnsi"/>
          <w:sz w:val="22"/>
          <w:szCs w:val="22"/>
        </w:rPr>
        <w:t>3.542,30</w:t>
      </w:r>
      <w:r w:rsidR="00DA7710">
        <w:rPr>
          <w:rFonts w:asciiTheme="minorHAnsi" w:hAnsiTheme="minorHAnsi" w:cstheme="minorHAnsi"/>
          <w:sz w:val="22"/>
          <w:szCs w:val="22"/>
        </w:rPr>
        <w:t xml:space="preserve"> €</w:t>
      </w:r>
      <w:r>
        <w:rPr>
          <w:rFonts w:asciiTheme="minorHAnsi" w:hAnsiTheme="minorHAnsi" w:cstheme="minorHAnsi"/>
          <w:sz w:val="22"/>
          <w:szCs w:val="22"/>
        </w:rPr>
        <w:t>,</w:t>
      </w:r>
      <w:r w:rsidR="00DA7710">
        <w:rPr>
          <w:rFonts w:asciiTheme="minorHAnsi" w:hAnsiTheme="minorHAnsi" w:cstheme="minorHAnsi"/>
          <w:sz w:val="22"/>
          <w:szCs w:val="22"/>
        </w:rPr>
        <w:t xml:space="preserve"> odnosno </w:t>
      </w:r>
      <w:r w:rsidR="00087EB8">
        <w:rPr>
          <w:rFonts w:asciiTheme="minorHAnsi" w:hAnsiTheme="minorHAnsi" w:cstheme="minorHAnsi"/>
          <w:sz w:val="22"/>
          <w:szCs w:val="22"/>
        </w:rPr>
        <w:t>1</w:t>
      </w:r>
      <w:r w:rsidR="00501204">
        <w:rPr>
          <w:rFonts w:asciiTheme="minorHAnsi" w:hAnsiTheme="minorHAnsi" w:cstheme="minorHAnsi"/>
          <w:sz w:val="22"/>
          <w:szCs w:val="22"/>
        </w:rPr>
        <w:t>26</w:t>
      </w:r>
      <w:r w:rsidR="00DA7710">
        <w:rPr>
          <w:rFonts w:asciiTheme="minorHAnsi" w:hAnsiTheme="minorHAnsi" w:cstheme="minorHAnsi"/>
          <w:sz w:val="22"/>
          <w:szCs w:val="22"/>
        </w:rPr>
        <w:t xml:space="preserve">% </w:t>
      </w:r>
      <w:r w:rsidR="00501204">
        <w:rPr>
          <w:rFonts w:asciiTheme="minorHAnsi" w:hAnsiTheme="minorHAnsi" w:cstheme="minorHAnsi"/>
          <w:sz w:val="22"/>
          <w:szCs w:val="22"/>
        </w:rPr>
        <w:t xml:space="preserve">više </w:t>
      </w:r>
      <w:r w:rsidR="00DA7710">
        <w:rPr>
          <w:rFonts w:asciiTheme="minorHAnsi" w:hAnsiTheme="minorHAnsi" w:cstheme="minorHAnsi"/>
          <w:sz w:val="22"/>
          <w:szCs w:val="22"/>
        </w:rPr>
        <w:t>od planiranog iznosa.</w:t>
      </w:r>
      <w:r w:rsidR="00501204">
        <w:rPr>
          <w:rFonts w:asciiTheme="minorHAnsi" w:hAnsiTheme="minorHAnsi" w:cstheme="minorHAnsi"/>
          <w:sz w:val="22"/>
          <w:szCs w:val="22"/>
        </w:rPr>
        <w:t xml:space="preserve"> Iznos ostvarenog je znatno veći od plana iz razloga što s</w:t>
      </w:r>
      <w:r w:rsidR="000A7A59">
        <w:rPr>
          <w:rFonts w:asciiTheme="minorHAnsi" w:hAnsiTheme="minorHAnsi" w:cstheme="minorHAnsi"/>
          <w:sz w:val="22"/>
          <w:szCs w:val="22"/>
        </w:rPr>
        <w:t>u</w:t>
      </w:r>
      <w:r w:rsidR="00501204">
        <w:rPr>
          <w:rFonts w:asciiTheme="minorHAnsi" w:hAnsiTheme="minorHAnsi" w:cstheme="minorHAnsi"/>
          <w:sz w:val="22"/>
          <w:szCs w:val="22"/>
        </w:rPr>
        <w:t xml:space="preserve"> Odlukom MZOM dobivena dodatna </w:t>
      </w:r>
      <w:r w:rsidR="000A7A59">
        <w:rPr>
          <w:rFonts w:asciiTheme="minorHAnsi" w:hAnsiTheme="minorHAnsi" w:cstheme="minorHAnsi"/>
          <w:sz w:val="22"/>
          <w:szCs w:val="22"/>
        </w:rPr>
        <w:t>sredstva</w:t>
      </w:r>
      <w:r w:rsidR="00501204">
        <w:rPr>
          <w:rFonts w:asciiTheme="minorHAnsi" w:hAnsiTheme="minorHAnsi" w:cstheme="minorHAnsi"/>
          <w:sz w:val="22"/>
          <w:szCs w:val="22"/>
        </w:rPr>
        <w:t xml:space="preserve"> za na</w:t>
      </w:r>
      <w:r w:rsidR="000A7A59">
        <w:rPr>
          <w:rFonts w:asciiTheme="minorHAnsi" w:hAnsiTheme="minorHAnsi" w:cstheme="minorHAnsi"/>
          <w:sz w:val="22"/>
          <w:szCs w:val="22"/>
        </w:rPr>
        <w:t>bav</w:t>
      </w:r>
      <w:r w:rsidR="00501204">
        <w:rPr>
          <w:rFonts w:asciiTheme="minorHAnsi" w:hAnsiTheme="minorHAnsi" w:cstheme="minorHAnsi"/>
          <w:sz w:val="22"/>
          <w:szCs w:val="22"/>
        </w:rPr>
        <w:t xml:space="preserve">u </w:t>
      </w:r>
      <w:r w:rsidR="000A7A59">
        <w:rPr>
          <w:rFonts w:asciiTheme="minorHAnsi" w:hAnsiTheme="minorHAnsi" w:cstheme="minorHAnsi"/>
          <w:sz w:val="22"/>
          <w:szCs w:val="22"/>
        </w:rPr>
        <w:t>učioničke opreme i namještaja a što će biti uvršteno u plan izmjenama i dopunama financijskog plana za 2025. godinu.</w:t>
      </w:r>
    </w:p>
    <w:p w14:paraId="6C402893" w14:textId="77777777" w:rsidR="00501204" w:rsidRDefault="00501204" w:rsidP="005A30C4">
      <w:pPr>
        <w:rPr>
          <w:rFonts w:asciiTheme="minorHAnsi" w:hAnsiTheme="minorHAnsi" w:cstheme="minorHAnsi"/>
          <w:sz w:val="22"/>
          <w:szCs w:val="22"/>
        </w:rPr>
      </w:pPr>
    </w:p>
    <w:p w14:paraId="63298AAD" w14:textId="77777777" w:rsidR="00A61175" w:rsidRDefault="00A61175" w:rsidP="005A30C4">
      <w:pPr>
        <w:rPr>
          <w:rFonts w:asciiTheme="minorHAnsi" w:hAnsiTheme="minorHAnsi" w:cstheme="minorHAnsi"/>
          <w:sz w:val="22"/>
          <w:szCs w:val="22"/>
        </w:rPr>
      </w:pPr>
    </w:p>
    <w:p w14:paraId="37512BE7" w14:textId="7627CE9B" w:rsidR="00A61175" w:rsidRDefault="00A61175" w:rsidP="005A30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68DB">
        <w:rPr>
          <w:rFonts w:asciiTheme="minorHAnsi" w:hAnsiTheme="minorHAnsi" w:cstheme="minorHAnsi"/>
          <w:b/>
          <w:bCs/>
          <w:sz w:val="22"/>
          <w:szCs w:val="22"/>
        </w:rPr>
        <w:t>4. POSEBNI IZVJEŠTAJI</w:t>
      </w:r>
    </w:p>
    <w:p w14:paraId="71F4A71E" w14:textId="77777777" w:rsidR="008A0500" w:rsidRDefault="008A0500" w:rsidP="005A30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F2B5D5" w14:textId="4F67DBD2" w:rsidR="008A0500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4.1. Izvještaj o korištenju sredstava fondova EU-u izvještajnom razdoblju </w:t>
      </w:r>
      <w:r w:rsidR="003F2E73">
        <w:rPr>
          <w:rFonts w:asciiTheme="minorHAnsi" w:hAnsiTheme="minorHAnsi" w:cstheme="minorHAnsi"/>
          <w:sz w:val="22"/>
          <w:szCs w:val="22"/>
        </w:rPr>
        <w:t>nije ostvareno.</w:t>
      </w:r>
    </w:p>
    <w:p w14:paraId="7B43619E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4FD999FC" w14:textId="30C9B4E0" w:rsidR="003F2E73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4.2. Izvještaj o zaduživanju na domaćem i st</w:t>
      </w:r>
      <w:r w:rsidR="00FE21A1">
        <w:rPr>
          <w:rFonts w:asciiTheme="minorHAnsi" w:hAnsiTheme="minorHAnsi" w:cstheme="minorHAnsi"/>
          <w:sz w:val="22"/>
          <w:szCs w:val="22"/>
        </w:rPr>
        <w:t>ranom tržištu novca i kapitala-</w:t>
      </w:r>
      <w:r>
        <w:rPr>
          <w:rFonts w:asciiTheme="minorHAnsi" w:hAnsiTheme="minorHAnsi" w:cstheme="minorHAnsi"/>
          <w:sz w:val="22"/>
          <w:szCs w:val="22"/>
        </w:rPr>
        <w:t>u izvještajnom razdoblju nije ostvareno.</w:t>
      </w:r>
    </w:p>
    <w:p w14:paraId="6402038C" w14:textId="77777777" w:rsidR="00906A05" w:rsidRDefault="00906A05" w:rsidP="005A30C4">
      <w:pPr>
        <w:rPr>
          <w:rFonts w:asciiTheme="minorHAnsi" w:hAnsiTheme="minorHAnsi" w:cstheme="minorHAnsi"/>
          <w:sz w:val="22"/>
          <w:szCs w:val="22"/>
        </w:rPr>
      </w:pPr>
    </w:p>
    <w:p w14:paraId="626B743D" w14:textId="2B1F735C" w:rsidR="008A0500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4.3. Izvještaj o danim zajmovima i potraživanjima </w:t>
      </w:r>
      <w:r w:rsidR="00FE21A1">
        <w:rPr>
          <w:rFonts w:asciiTheme="minorHAnsi" w:hAnsiTheme="minorHAnsi" w:cstheme="minorHAnsi"/>
          <w:sz w:val="22"/>
          <w:szCs w:val="22"/>
        </w:rPr>
        <w:t>po danim zajmovima-</w:t>
      </w:r>
      <w:r>
        <w:rPr>
          <w:rFonts w:asciiTheme="minorHAnsi" w:hAnsiTheme="minorHAnsi" w:cstheme="minorHAnsi"/>
          <w:sz w:val="22"/>
          <w:szCs w:val="22"/>
        </w:rPr>
        <w:t>u izvještajnom razdoblju nije ostvareno.</w:t>
      </w:r>
    </w:p>
    <w:p w14:paraId="7D5BBFFD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269A44F8" w14:textId="47BD1A3B" w:rsidR="00883AC6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4.4. Izvještaj o stanju potraživanja i dospjelih obveza te o stanju potencijalnih obveza po osnovi sudskih sporova</w:t>
      </w:r>
    </w:p>
    <w:p w14:paraId="209B6CB8" w14:textId="0455CC7D" w:rsidR="002A1795" w:rsidRDefault="002A1795" w:rsidP="00772A74">
      <w:pPr>
        <w:pStyle w:val="Odlomakpopisa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72A74">
        <w:rPr>
          <w:rFonts w:ascii="Calibri" w:hAnsi="Calibri" w:cs="Calibri"/>
          <w:sz w:val="22"/>
          <w:szCs w:val="22"/>
        </w:rPr>
        <w:t>Stanje potraživanja na dan 3</w:t>
      </w:r>
      <w:r w:rsidR="006C09AC">
        <w:rPr>
          <w:rFonts w:ascii="Calibri" w:hAnsi="Calibri" w:cs="Calibri"/>
          <w:sz w:val="22"/>
          <w:szCs w:val="22"/>
        </w:rPr>
        <w:t>0</w:t>
      </w:r>
      <w:r w:rsidRPr="00772A74">
        <w:rPr>
          <w:rFonts w:ascii="Calibri" w:hAnsi="Calibri" w:cs="Calibri"/>
          <w:sz w:val="22"/>
          <w:szCs w:val="22"/>
        </w:rPr>
        <w:t>.</w:t>
      </w:r>
      <w:r w:rsidR="006C09AC">
        <w:rPr>
          <w:rFonts w:ascii="Calibri" w:hAnsi="Calibri" w:cs="Calibri"/>
          <w:sz w:val="22"/>
          <w:szCs w:val="22"/>
        </w:rPr>
        <w:t>06</w:t>
      </w:r>
      <w:r w:rsidRPr="00772A74">
        <w:rPr>
          <w:rFonts w:ascii="Calibri" w:hAnsi="Calibri" w:cs="Calibri"/>
          <w:sz w:val="22"/>
          <w:szCs w:val="22"/>
        </w:rPr>
        <w:t>.202</w:t>
      </w:r>
      <w:r w:rsidR="006C09AC">
        <w:rPr>
          <w:rFonts w:ascii="Calibri" w:hAnsi="Calibri" w:cs="Calibri"/>
          <w:sz w:val="22"/>
          <w:szCs w:val="22"/>
        </w:rPr>
        <w:t>5</w:t>
      </w:r>
      <w:r w:rsidRPr="00772A74">
        <w:rPr>
          <w:rFonts w:ascii="Calibri" w:hAnsi="Calibri" w:cs="Calibri"/>
          <w:sz w:val="22"/>
          <w:szCs w:val="22"/>
        </w:rPr>
        <w:t>. iznosi 1</w:t>
      </w:r>
      <w:r w:rsidR="00F92BF6">
        <w:rPr>
          <w:rFonts w:ascii="Calibri" w:hAnsi="Calibri" w:cs="Calibri"/>
          <w:sz w:val="22"/>
          <w:szCs w:val="22"/>
        </w:rPr>
        <w:t>63.177,91</w:t>
      </w:r>
      <w:r w:rsidRPr="00772A74">
        <w:rPr>
          <w:rFonts w:ascii="Calibri" w:hAnsi="Calibri" w:cs="Calibri"/>
          <w:sz w:val="22"/>
          <w:szCs w:val="22"/>
        </w:rPr>
        <w:t xml:space="preserve"> € od čega su dospjela potraživanja </w:t>
      </w:r>
      <w:r w:rsidR="00F92BF6">
        <w:rPr>
          <w:rFonts w:ascii="Calibri" w:hAnsi="Calibri" w:cs="Calibri"/>
          <w:sz w:val="22"/>
          <w:szCs w:val="22"/>
        </w:rPr>
        <w:t>687,88</w:t>
      </w:r>
      <w:r w:rsidRPr="00772A74">
        <w:rPr>
          <w:rFonts w:ascii="Calibri" w:hAnsi="Calibri" w:cs="Calibri"/>
          <w:sz w:val="22"/>
          <w:szCs w:val="22"/>
        </w:rPr>
        <w:t xml:space="preserve"> €</w:t>
      </w:r>
      <w:r w:rsidR="00EB7FC3" w:rsidRPr="00772A74">
        <w:rPr>
          <w:rFonts w:ascii="Calibri" w:hAnsi="Calibri" w:cs="Calibri"/>
          <w:sz w:val="22"/>
          <w:szCs w:val="22"/>
        </w:rPr>
        <w:t xml:space="preserve"> za iznajmljivanje sportske dvorane,</w:t>
      </w:r>
      <w:r w:rsidRPr="00772A74">
        <w:rPr>
          <w:rFonts w:ascii="Calibri" w:hAnsi="Calibri" w:cs="Calibri"/>
          <w:sz w:val="22"/>
          <w:szCs w:val="22"/>
        </w:rPr>
        <w:t xml:space="preserve"> dok je ostatak 1</w:t>
      </w:r>
      <w:r w:rsidR="00F92BF6">
        <w:rPr>
          <w:rFonts w:ascii="Calibri" w:hAnsi="Calibri" w:cs="Calibri"/>
          <w:sz w:val="22"/>
          <w:szCs w:val="22"/>
        </w:rPr>
        <w:t>62.490,03</w:t>
      </w:r>
      <w:r w:rsidRPr="00772A74">
        <w:rPr>
          <w:rFonts w:ascii="Calibri" w:hAnsi="Calibri" w:cs="Calibri"/>
          <w:sz w:val="22"/>
          <w:szCs w:val="22"/>
        </w:rPr>
        <w:t xml:space="preserve"> € nedospjelo, a odnosi se na potraživanja na naknade za bolovanje HZZO</w:t>
      </w:r>
      <w:r w:rsidR="00DE7F18" w:rsidRPr="00772A74">
        <w:rPr>
          <w:rFonts w:ascii="Calibri" w:hAnsi="Calibri" w:cs="Calibri"/>
          <w:sz w:val="22"/>
          <w:szCs w:val="22"/>
        </w:rPr>
        <w:t xml:space="preserve"> 2</w:t>
      </w:r>
      <w:r w:rsidR="00F92BF6">
        <w:rPr>
          <w:rFonts w:ascii="Calibri" w:hAnsi="Calibri" w:cs="Calibri"/>
          <w:sz w:val="22"/>
          <w:szCs w:val="22"/>
        </w:rPr>
        <w:t>.041,09</w:t>
      </w:r>
      <w:r w:rsidRPr="00772A74">
        <w:rPr>
          <w:rFonts w:ascii="Calibri" w:hAnsi="Calibri" w:cs="Calibri"/>
          <w:sz w:val="22"/>
          <w:szCs w:val="22"/>
        </w:rPr>
        <w:t xml:space="preserve">€, potraživanja za iznajmljivanje sportske dvorane i prostora škole za mjesec </w:t>
      </w:r>
      <w:r w:rsidR="00F92BF6">
        <w:rPr>
          <w:rFonts w:ascii="Calibri" w:hAnsi="Calibri" w:cs="Calibri"/>
          <w:sz w:val="22"/>
          <w:szCs w:val="22"/>
        </w:rPr>
        <w:t>lipanj</w:t>
      </w:r>
      <w:r w:rsidRPr="00772A74">
        <w:rPr>
          <w:rFonts w:ascii="Calibri" w:hAnsi="Calibri" w:cs="Calibri"/>
          <w:sz w:val="22"/>
          <w:szCs w:val="22"/>
        </w:rPr>
        <w:t xml:space="preserve"> </w:t>
      </w:r>
      <w:r w:rsidR="00F92BF6">
        <w:rPr>
          <w:rFonts w:ascii="Calibri" w:hAnsi="Calibri" w:cs="Calibri"/>
          <w:sz w:val="22"/>
          <w:szCs w:val="22"/>
        </w:rPr>
        <w:t>283,52</w:t>
      </w:r>
      <w:r w:rsidRPr="00772A74">
        <w:rPr>
          <w:rFonts w:ascii="Calibri" w:hAnsi="Calibri" w:cs="Calibri"/>
          <w:sz w:val="22"/>
          <w:szCs w:val="22"/>
        </w:rPr>
        <w:t xml:space="preserve"> €, potraživanja </w:t>
      </w:r>
      <w:r w:rsidR="00EB7FC3" w:rsidRPr="00772A74">
        <w:rPr>
          <w:rFonts w:ascii="Calibri" w:hAnsi="Calibri" w:cs="Calibri"/>
          <w:sz w:val="22"/>
          <w:szCs w:val="22"/>
        </w:rPr>
        <w:t>za</w:t>
      </w:r>
      <w:r w:rsidRPr="00772A74">
        <w:rPr>
          <w:rFonts w:ascii="Calibri" w:hAnsi="Calibri" w:cs="Calibri"/>
          <w:sz w:val="22"/>
          <w:szCs w:val="22"/>
        </w:rPr>
        <w:t xml:space="preserve"> potrošnj</w:t>
      </w:r>
      <w:r w:rsidR="00EB7FC3" w:rsidRPr="00772A74">
        <w:rPr>
          <w:rFonts w:ascii="Calibri" w:hAnsi="Calibri" w:cs="Calibri"/>
          <w:sz w:val="22"/>
          <w:szCs w:val="22"/>
        </w:rPr>
        <w:t>u</w:t>
      </w:r>
      <w:r w:rsidRPr="00772A74">
        <w:rPr>
          <w:rFonts w:ascii="Calibri" w:hAnsi="Calibri" w:cs="Calibri"/>
          <w:sz w:val="22"/>
          <w:szCs w:val="22"/>
        </w:rPr>
        <w:t xml:space="preserve"> vode za </w:t>
      </w:r>
      <w:r w:rsidR="00F92BF6">
        <w:rPr>
          <w:rFonts w:ascii="Calibri" w:hAnsi="Calibri" w:cs="Calibri"/>
          <w:sz w:val="22"/>
          <w:szCs w:val="22"/>
        </w:rPr>
        <w:t>lipanj</w:t>
      </w:r>
      <w:r w:rsidRPr="00772A74">
        <w:rPr>
          <w:rFonts w:ascii="Calibri" w:hAnsi="Calibri" w:cs="Calibri"/>
          <w:sz w:val="22"/>
          <w:szCs w:val="22"/>
        </w:rPr>
        <w:t xml:space="preserve"> 202</w:t>
      </w:r>
      <w:r w:rsidR="00F92BF6">
        <w:rPr>
          <w:rFonts w:ascii="Calibri" w:hAnsi="Calibri" w:cs="Calibri"/>
          <w:sz w:val="22"/>
          <w:szCs w:val="22"/>
        </w:rPr>
        <w:t>5</w:t>
      </w:r>
      <w:r w:rsidRPr="00772A74">
        <w:rPr>
          <w:rFonts w:ascii="Calibri" w:hAnsi="Calibri" w:cs="Calibri"/>
          <w:sz w:val="22"/>
          <w:szCs w:val="22"/>
        </w:rPr>
        <w:t xml:space="preserve">. u PŠDŠ </w:t>
      </w:r>
      <w:r w:rsidR="00EB7FC3" w:rsidRPr="00772A74">
        <w:rPr>
          <w:rFonts w:ascii="Calibri" w:hAnsi="Calibri" w:cs="Calibri"/>
          <w:sz w:val="22"/>
          <w:szCs w:val="22"/>
        </w:rPr>
        <w:t>26,54</w:t>
      </w:r>
      <w:r w:rsidRPr="00772A74">
        <w:rPr>
          <w:rFonts w:ascii="Calibri" w:hAnsi="Calibri" w:cs="Calibri"/>
          <w:sz w:val="22"/>
          <w:szCs w:val="22"/>
        </w:rPr>
        <w:t xml:space="preserve"> €, potraživanja od prodaje stana u PŠDŠ</w:t>
      </w:r>
      <w:r w:rsidR="00DE7F18" w:rsidRPr="00772A74">
        <w:rPr>
          <w:rFonts w:ascii="Calibri" w:hAnsi="Calibri" w:cs="Calibri"/>
          <w:sz w:val="22"/>
          <w:szCs w:val="22"/>
        </w:rPr>
        <w:t xml:space="preserve"> 1.</w:t>
      </w:r>
      <w:r w:rsidR="00F92BF6">
        <w:rPr>
          <w:rFonts w:ascii="Calibri" w:hAnsi="Calibri" w:cs="Calibri"/>
          <w:sz w:val="22"/>
          <w:szCs w:val="22"/>
        </w:rPr>
        <w:t>794,09</w:t>
      </w:r>
      <w:r w:rsidRPr="00772A74">
        <w:rPr>
          <w:rFonts w:ascii="Calibri" w:hAnsi="Calibri" w:cs="Calibri"/>
          <w:sz w:val="22"/>
          <w:szCs w:val="22"/>
        </w:rPr>
        <w:t xml:space="preserve"> €,</w:t>
      </w:r>
      <w:r w:rsidR="00EB7FC3" w:rsidRPr="00772A74">
        <w:rPr>
          <w:rFonts w:ascii="Calibri" w:hAnsi="Calibri" w:cs="Calibri"/>
          <w:sz w:val="22"/>
          <w:szCs w:val="22"/>
        </w:rPr>
        <w:t xml:space="preserve"> </w:t>
      </w:r>
      <w:r w:rsidR="00F92BF6">
        <w:rPr>
          <w:rFonts w:ascii="Calibri" w:hAnsi="Calibri" w:cs="Calibri"/>
          <w:sz w:val="22"/>
          <w:szCs w:val="22"/>
        </w:rPr>
        <w:t>199,6</w:t>
      </w:r>
      <w:r w:rsidR="00EB7FC3" w:rsidRPr="00772A74">
        <w:rPr>
          <w:rFonts w:ascii="Calibri" w:hAnsi="Calibri" w:cs="Calibri"/>
          <w:sz w:val="22"/>
          <w:szCs w:val="22"/>
        </w:rPr>
        <w:t>0 €</w:t>
      </w:r>
      <w:r w:rsidR="006941B7">
        <w:rPr>
          <w:rFonts w:ascii="Calibri" w:hAnsi="Calibri" w:cs="Calibri"/>
          <w:sz w:val="22"/>
          <w:szCs w:val="22"/>
        </w:rPr>
        <w:t xml:space="preserve"> </w:t>
      </w:r>
      <w:r w:rsidR="00EB7FC3" w:rsidRPr="00772A74">
        <w:rPr>
          <w:rFonts w:ascii="Calibri" w:hAnsi="Calibri" w:cs="Calibri"/>
          <w:sz w:val="22"/>
          <w:szCs w:val="22"/>
        </w:rPr>
        <w:t>za plaćen</w:t>
      </w:r>
      <w:r w:rsidR="00F92BF6">
        <w:rPr>
          <w:rFonts w:ascii="Calibri" w:hAnsi="Calibri" w:cs="Calibri"/>
          <w:sz w:val="22"/>
          <w:szCs w:val="22"/>
        </w:rPr>
        <w:t>i</w:t>
      </w:r>
      <w:r w:rsidR="00EB7FC3" w:rsidRPr="00772A74">
        <w:rPr>
          <w:rFonts w:ascii="Calibri" w:hAnsi="Calibri" w:cs="Calibri"/>
          <w:sz w:val="22"/>
          <w:szCs w:val="22"/>
        </w:rPr>
        <w:t xml:space="preserve"> predujmove za stručni skup,</w:t>
      </w:r>
      <w:r w:rsidRPr="00772A74">
        <w:rPr>
          <w:rFonts w:ascii="Calibri" w:hAnsi="Calibri" w:cs="Calibri"/>
          <w:sz w:val="22"/>
          <w:szCs w:val="22"/>
        </w:rPr>
        <w:t xml:space="preserve"> a iznos 15</w:t>
      </w:r>
      <w:r w:rsidR="00F92BF6">
        <w:rPr>
          <w:rFonts w:ascii="Calibri" w:hAnsi="Calibri" w:cs="Calibri"/>
          <w:sz w:val="22"/>
          <w:szCs w:val="22"/>
        </w:rPr>
        <w:t>8</w:t>
      </w:r>
      <w:r w:rsidR="00DE7F18" w:rsidRPr="00772A74">
        <w:rPr>
          <w:rFonts w:ascii="Calibri" w:hAnsi="Calibri" w:cs="Calibri"/>
          <w:sz w:val="22"/>
          <w:szCs w:val="22"/>
        </w:rPr>
        <w:t>.</w:t>
      </w:r>
      <w:r w:rsidR="00F92BF6">
        <w:rPr>
          <w:rFonts w:ascii="Calibri" w:hAnsi="Calibri" w:cs="Calibri"/>
          <w:sz w:val="22"/>
          <w:szCs w:val="22"/>
        </w:rPr>
        <w:t>145</w:t>
      </w:r>
      <w:r w:rsidR="00DE7F18" w:rsidRPr="00772A74">
        <w:rPr>
          <w:rFonts w:ascii="Calibri" w:hAnsi="Calibri" w:cs="Calibri"/>
          <w:sz w:val="22"/>
          <w:szCs w:val="22"/>
        </w:rPr>
        <w:t>,</w:t>
      </w:r>
      <w:r w:rsidR="00F92BF6">
        <w:rPr>
          <w:rFonts w:ascii="Calibri" w:hAnsi="Calibri" w:cs="Calibri"/>
          <w:sz w:val="22"/>
          <w:szCs w:val="22"/>
        </w:rPr>
        <w:t>1</w:t>
      </w:r>
      <w:r w:rsidR="00DE7F18" w:rsidRPr="00772A74">
        <w:rPr>
          <w:rFonts w:ascii="Calibri" w:hAnsi="Calibri" w:cs="Calibri"/>
          <w:sz w:val="22"/>
          <w:szCs w:val="22"/>
        </w:rPr>
        <w:t>9</w:t>
      </w:r>
      <w:r w:rsidRPr="00772A74">
        <w:rPr>
          <w:rFonts w:ascii="Calibri" w:hAnsi="Calibri" w:cs="Calibri"/>
          <w:sz w:val="22"/>
          <w:szCs w:val="22"/>
        </w:rPr>
        <w:t xml:space="preserve"> € se odnosi na </w:t>
      </w:r>
      <w:r w:rsidR="00F92BF6">
        <w:rPr>
          <w:rFonts w:ascii="Calibri" w:hAnsi="Calibri" w:cs="Calibri"/>
          <w:sz w:val="22"/>
          <w:szCs w:val="22"/>
        </w:rPr>
        <w:t xml:space="preserve">potraživanje za </w:t>
      </w:r>
      <w:r w:rsidRPr="00772A74">
        <w:rPr>
          <w:rFonts w:ascii="Calibri" w:hAnsi="Calibri" w:cs="Calibri"/>
          <w:sz w:val="22"/>
          <w:szCs w:val="22"/>
        </w:rPr>
        <w:t xml:space="preserve">plaću za </w:t>
      </w:r>
      <w:r w:rsidR="00F92BF6">
        <w:rPr>
          <w:rFonts w:ascii="Calibri" w:hAnsi="Calibri" w:cs="Calibri"/>
          <w:sz w:val="22"/>
          <w:szCs w:val="22"/>
        </w:rPr>
        <w:t>lipanj</w:t>
      </w:r>
      <w:r w:rsidRPr="00772A74">
        <w:rPr>
          <w:rFonts w:ascii="Calibri" w:hAnsi="Calibri" w:cs="Calibri"/>
          <w:sz w:val="22"/>
          <w:szCs w:val="22"/>
        </w:rPr>
        <w:t xml:space="preserve"> 2024.</w:t>
      </w:r>
    </w:p>
    <w:p w14:paraId="3D14FC89" w14:textId="77777777" w:rsidR="00E12A2E" w:rsidRPr="00772A74" w:rsidRDefault="00E12A2E" w:rsidP="00E12A2E">
      <w:pPr>
        <w:pStyle w:val="Odlomakpopisa"/>
        <w:rPr>
          <w:rFonts w:ascii="Calibri" w:hAnsi="Calibri" w:cs="Calibri"/>
          <w:sz w:val="22"/>
          <w:szCs w:val="22"/>
        </w:rPr>
      </w:pPr>
    </w:p>
    <w:p w14:paraId="1845E880" w14:textId="77777777" w:rsidR="000535A8" w:rsidRDefault="00D640B2" w:rsidP="000535A8">
      <w:pPr>
        <w:pStyle w:val="Odlomakpopisa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72A74">
        <w:rPr>
          <w:rFonts w:ascii="Calibri" w:hAnsi="Calibri" w:cs="Calibri"/>
          <w:sz w:val="22"/>
          <w:szCs w:val="22"/>
        </w:rPr>
        <w:t>Stanje obveza na dan 3</w:t>
      </w:r>
      <w:r w:rsidR="006C09AC">
        <w:rPr>
          <w:rFonts w:ascii="Calibri" w:hAnsi="Calibri" w:cs="Calibri"/>
          <w:sz w:val="22"/>
          <w:szCs w:val="22"/>
        </w:rPr>
        <w:t>0</w:t>
      </w:r>
      <w:r w:rsidRPr="00772A74">
        <w:rPr>
          <w:rFonts w:ascii="Calibri" w:hAnsi="Calibri" w:cs="Calibri"/>
          <w:sz w:val="22"/>
          <w:szCs w:val="22"/>
        </w:rPr>
        <w:t>.</w:t>
      </w:r>
      <w:r w:rsidR="006C09AC">
        <w:rPr>
          <w:rFonts w:ascii="Calibri" w:hAnsi="Calibri" w:cs="Calibri"/>
          <w:sz w:val="22"/>
          <w:szCs w:val="22"/>
        </w:rPr>
        <w:t>06</w:t>
      </w:r>
      <w:r w:rsidRPr="00772A74">
        <w:rPr>
          <w:rFonts w:ascii="Calibri" w:hAnsi="Calibri" w:cs="Calibri"/>
          <w:sz w:val="22"/>
          <w:szCs w:val="22"/>
        </w:rPr>
        <w:t>.202</w:t>
      </w:r>
      <w:r w:rsidR="006C09AC">
        <w:rPr>
          <w:rFonts w:ascii="Calibri" w:hAnsi="Calibri" w:cs="Calibri"/>
          <w:sz w:val="22"/>
          <w:szCs w:val="22"/>
        </w:rPr>
        <w:t>5</w:t>
      </w:r>
      <w:r w:rsidRPr="00772A74">
        <w:rPr>
          <w:rFonts w:ascii="Calibri" w:hAnsi="Calibri" w:cs="Calibri"/>
          <w:sz w:val="22"/>
          <w:szCs w:val="22"/>
        </w:rPr>
        <w:t xml:space="preserve">. iznosi </w:t>
      </w:r>
      <w:r w:rsidR="000535A8">
        <w:rPr>
          <w:rFonts w:ascii="Calibri" w:hAnsi="Calibri" w:cs="Calibri"/>
          <w:sz w:val="22"/>
          <w:szCs w:val="22"/>
        </w:rPr>
        <w:t>228.937,91</w:t>
      </w:r>
      <w:r w:rsidRPr="00772A74">
        <w:rPr>
          <w:rFonts w:ascii="Calibri" w:hAnsi="Calibri" w:cs="Calibri"/>
          <w:sz w:val="22"/>
          <w:szCs w:val="22"/>
        </w:rPr>
        <w:t xml:space="preserve"> eura, najvećim dijelom se odnosi na obveze za zaposlene 15</w:t>
      </w:r>
      <w:r w:rsidR="000535A8">
        <w:rPr>
          <w:rFonts w:ascii="Calibri" w:hAnsi="Calibri" w:cs="Calibri"/>
          <w:sz w:val="22"/>
          <w:szCs w:val="22"/>
        </w:rPr>
        <w:t>5.229,54</w:t>
      </w:r>
      <w:r w:rsidRPr="00772A74">
        <w:rPr>
          <w:rFonts w:ascii="Calibri" w:hAnsi="Calibri" w:cs="Calibri"/>
          <w:sz w:val="22"/>
          <w:szCs w:val="22"/>
        </w:rPr>
        <w:t xml:space="preserve"> €, zatim obveze za materijalne rashode</w:t>
      </w:r>
      <w:r w:rsidR="00F71815" w:rsidRPr="00772A74">
        <w:rPr>
          <w:rFonts w:ascii="Calibri" w:hAnsi="Calibri" w:cs="Calibri"/>
          <w:sz w:val="22"/>
          <w:szCs w:val="22"/>
        </w:rPr>
        <w:t xml:space="preserve"> </w:t>
      </w:r>
      <w:r w:rsidR="000535A8">
        <w:rPr>
          <w:rFonts w:ascii="Calibri" w:hAnsi="Calibri" w:cs="Calibri"/>
          <w:sz w:val="22"/>
          <w:szCs w:val="22"/>
        </w:rPr>
        <w:t>16.638,20</w:t>
      </w:r>
      <w:r w:rsidRPr="00772A74">
        <w:rPr>
          <w:rFonts w:ascii="Calibri" w:hAnsi="Calibri" w:cs="Calibri"/>
          <w:sz w:val="22"/>
          <w:szCs w:val="22"/>
        </w:rPr>
        <w:t xml:space="preserve"> € od čega su 3.</w:t>
      </w:r>
      <w:r w:rsidR="000535A8">
        <w:rPr>
          <w:rFonts w:ascii="Calibri" w:hAnsi="Calibri" w:cs="Calibri"/>
          <w:sz w:val="22"/>
          <w:szCs w:val="22"/>
        </w:rPr>
        <w:t>623,44</w:t>
      </w:r>
      <w:r w:rsidRPr="00772A74">
        <w:rPr>
          <w:rFonts w:ascii="Calibri" w:hAnsi="Calibri" w:cs="Calibri"/>
          <w:sz w:val="22"/>
          <w:szCs w:val="22"/>
        </w:rPr>
        <w:t xml:space="preserve"> € obveze za prijevoz radnika na posao i s posla te naknada za nezapošljavanje invalida, dok je preostali iznos</w:t>
      </w:r>
      <w:r w:rsidR="0080357D" w:rsidRPr="00772A74">
        <w:rPr>
          <w:rFonts w:ascii="Calibri" w:hAnsi="Calibri" w:cs="Calibri"/>
          <w:sz w:val="22"/>
          <w:szCs w:val="22"/>
        </w:rPr>
        <w:t xml:space="preserve"> 1</w:t>
      </w:r>
      <w:r w:rsidR="000535A8">
        <w:rPr>
          <w:rFonts w:ascii="Calibri" w:hAnsi="Calibri" w:cs="Calibri"/>
          <w:sz w:val="22"/>
          <w:szCs w:val="22"/>
        </w:rPr>
        <w:t>3.014,76</w:t>
      </w:r>
      <w:r w:rsidRPr="00772A74">
        <w:rPr>
          <w:rFonts w:ascii="Calibri" w:hAnsi="Calibri" w:cs="Calibri"/>
          <w:sz w:val="22"/>
          <w:szCs w:val="22"/>
        </w:rPr>
        <w:t xml:space="preserve"> € obveza za materijalne rashode poslovanja za mjesec </w:t>
      </w:r>
      <w:r w:rsidR="000535A8">
        <w:rPr>
          <w:rFonts w:ascii="Calibri" w:hAnsi="Calibri" w:cs="Calibri"/>
          <w:sz w:val="22"/>
          <w:szCs w:val="22"/>
        </w:rPr>
        <w:t>lipanj</w:t>
      </w:r>
      <w:r w:rsidR="00F71815" w:rsidRPr="00772A74">
        <w:rPr>
          <w:rFonts w:ascii="Calibri" w:hAnsi="Calibri" w:cs="Calibri"/>
          <w:sz w:val="22"/>
          <w:szCs w:val="22"/>
        </w:rPr>
        <w:t xml:space="preserve"> (energenti, komunalne usluge, telefoni, namirnice za prehranu)</w:t>
      </w:r>
      <w:r w:rsidRPr="00772A74">
        <w:rPr>
          <w:rFonts w:ascii="Calibri" w:hAnsi="Calibri" w:cs="Calibri"/>
          <w:sz w:val="22"/>
          <w:szCs w:val="22"/>
        </w:rPr>
        <w:t>, obveza za financijske rashode 1</w:t>
      </w:r>
      <w:r w:rsidR="000535A8">
        <w:rPr>
          <w:rFonts w:ascii="Calibri" w:hAnsi="Calibri" w:cs="Calibri"/>
          <w:sz w:val="22"/>
          <w:szCs w:val="22"/>
        </w:rPr>
        <w:t>7</w:t>
      </w:r>
      <w:r w:rsidR="0080357D" w:rsidRPr="00772A74">
        <w:rPr>
          <w:rFonts w:ascii="Calibri" w:hAnsi="Calibri" w:cs="Calibri"/>
          <w:sz w:val="22"/>
          <w:szCs w:val="22"/>
        </w:rPr>
        <w:t>8,</w:t>
      </w:r>
      <w:r w:rsidR="000535A8">
        <w:rPr>
          <w:rFonts w:ascii="Calibri" w:hAnsi="Calibri" w:cs="Calibri"/>
          <w:sz w:val="22"/>
          <w:szCs w:val="22"/>
        </w:rPr>
        <w:t>0</w:t>
      </w:r>
      <w:r w:rsidR="0080357D" w:rsidRPr="00772A74">
        <w:rPr>
          <w:rFonts w:ascii="Calibri" w:hAnsi="Calibri" w:cs="Calibri"/>
          <w:sz w:val="22"/>
          <w:szCs w:val="22"/>
        </w:rPr>
        <w:t>1</w:t>
      </w:r>
      <w:r w:rsidRPr="00772A74">
        <w:rPr>
          <w:rFonts w:ascii="Calibri" w:hAnsi="Calibri" w:cs="Calibri"/>
          <w:sz w:val="22"/>
          <w:szCs w:val="22"/>
        </w:rPr>
        <w:t xml:space="preserve"> €, obveza uplate</w:t>
      </w:r>
      <w:r w:rsidR="0094661B" w:rsidRPr="00772A74">
        <w:rPr>
          <w:rFonts w:ascii="Calibri" w:hAnsi="Calibri" w:cs="Calibri"/>
          <w:sz w:val="22"/>
          <w:szCs w:val="22"/>
        </w:rPr>
        <w:t xml:space="preserve"> 65 %</w:t>
      </w:r>
      <w:r w:rsidR="00F71815" w:rsidRPr="00772A74">
        <w:rPr>
          <w:rFonts w:ascii="Calibri" w:hAnsi="Calibri" w:cs="Calibri"/>
          <w:sz w:val="22"/>
          <w:szCs w:val="22"/>
        </w:rPr>
        <w:t xml:space="preserve"> </w:t>
      </w:r>
      <w:r w:rsidR="0094661B" w:rsidRPr="00772A74">
        <w:rPr>
          <w:rFonts w:ascii="Calibri" w:hAnsi="Calibri" w:cs="Calibri"/>
          <w:sz w:val="22"/>
          <w:szCs w:val="22"/>
        </w:rPr>
        <w:t>prihoda</w:t>
      </w:r>
      <w:r w:rsidRPr="00772A74">
        <w:rPr>
          <w:rFonts w:ascii="Calibri" w:hAnsi="Calibri" w:cs="Calibri"/>
          <w:sz w:val="22"/>
          <w:szCs w:val="22"/>
        </w:rPr>
        <w:t xml:space="preserve"> u </w:t>
      </w:r>
      <w:r w:rsidR="0094661B" w:rsidRPr="00772A74">
        <w:rPr>
          <w:rFonts w:ascii="Calibri" w:hAnsi="Calibri" w:cs="Calibri"/>
          <w:sz w:val="22"/>
          <w:szCs w:val="22"/>
        </w:rPr>
        <w:t>D</w:t>
      </w:r>
      <w:r w:rsidRPr="00772A74">
        <w:rPr>
          <w:rFonts w:ascii="Calibri" w:hAnsi="Calibri" w:cs="Calibri"/>
          <w:sz w:val="22"/>
          <w:szCs w:val="22"/>
        </w:rPr>
        <w:t>ržavni proračun za prodaju stana je 1.</w:t>
      </w:r>
      <w:r w:rsidR="0080357D" w:rsidRPr="00772A74">
        <w:rPr>
          <w:rFonts w:ascii="Calibri" w:hAnsi="Calibri" w:cs="Calibri"/>
          <w:sz w:val="22"/>
          <w:szCs w:val="22"/>
        </w:rPr>
        <w:t>260,58</w:t>
      </w:r>
      <w:r w:rsidRPr="00772A74">
        <w:rPr>
          <w:rFonts w:ascii="Calibri" w:hAnsi="Calibri" w:cs="Calibri"/>
          <w:sz w:val="22"/>
          <w:szCs w:val="22"/>
        </w:rPr>
        <w:t>, dok je obveza za otvoreno bolovanje HZZO</w:t>
      </w:r>
      <w:r w:rsidR="0080357D" w:rsidRPr="00772A74">
        <w:rPr>
          <w:rFonts w:ascii="Calibri" w:hAnsi="Calibri" w:cs="Calibri"/>
          <w:sz w:val="22"/>
          <w:szCs w:val="22"/>
        </w:rPr>
        <w:t xml:space="preserve"> </w:t>
      </w:r>
      <w:r w:rsidR="000535A8">
        <w:rPr>
          <w:rFonts w:ascii="Calibri" w:hAnsi="Calibri" w:cs="Calibri"/>
          <w:sz w:val="22"/>
          <w:szCs w:val="22"/>
        </w:rPr>
        <w:t>1.243,30</w:t>
      </w:r>
      <w:r w:rsidRPr="00772A74">
        <w:rPr>
          <w:rFonts w:ascii="Calibri" w:hAnsi="Calibri" w:cs="Calibri"/>
          <w:sz w:val="22"/>
          <w:szCs w:val="22"/>
        </w:rPr>
        <w:t xml:space="preserve"> €. </w:t>
      </w:r>
    </w:p>
    <w:p w14:paraId="4CF52BC6" w14:textId="77777777" w:rsidR="000535A8" w:rsidRPr="000535A8" w:rsidRDefault="000535A8" w:rsidP="000535A8">
      <w:pPr>
        <w:pStyle w:val="Odlomakpopisa"/>
        <w:rPr>
          <w:rFonts w:ascii="Calibri" w:hAnsi="Calibri" w:cs="Calibri"/>
          <w:sz w:val="22"/>
          <w:szCs w:val="22"/>
        </w:rPr>
      </w:pPr>
    </w:p>
    <w:p w14:paraId="5A4CE1F2" w14:textId="52431F8D" w:rsidR="00D640B2" w:rsidRPr="000535A8" w:rsidRDefault="00D640B2" w:rsidP="000535A8">
      <w:pPr>
        <w:pStyle w:val="Odlomakpopisa"/>
        <w:rPr>
          <w:rFonts w:ascii="Calibri" w:hAnsi="Calibri" w:cs="Calibri"/>
          <w:sz w:val="22"/>
          <w:szCs w:val="22"/>
        </w:rPr>
      </w:pPr>
      <w:r w:rsidRPr="000535A8">
        <w:rPr>
          <w:rFonts w:ascii="Calibri" w:hAnsi="Calibri" w:cs="Calibri"/>
          <w:sz w:val="22"/>
          <w:szCs w:val="22"/>
        </w:rPr>
        <w:lastRenderedPageBreak/>
        <w:t>S</w:t>
      </w:r>
      <w:r w:rsidR="000535A8">
        <w:rPr>
          <w:rFonts w:ascii="Calibri" w:hAnsi="Calibri" w:cs="Calibri"/>
          <w:sz w:val="22"/>
          <w:szCs w:val="22"/>
        </w:rPr>
        <w:t>tanje dospjelih obveza iznosi 14.150,90 €, odnosi se na materijalne rashode poslovanja 885,60 € za račune koji su primljeni početkom srpnja a rok dospijeća im je u lipnju te za nabavu nefinancijske imovine (sredstva osiguralo MZOM), 13.265,30 €</w:t>
      </w:r>
      <w:r w:rsidR="00C17044">
        <w:rPr>
          <w:rFonts w:ascii="Calibri" w:hAnsi="Calibri" w:cs="Calibri"/>
          <w:sz w:val="22"/>
          <w:szCs w:val="22"/>
        </w:rPr>
        <w:t xml:space="preserve">, </w:t>
      </w:r>
      <w:r w:rsidR="000535A8">
        <w:rPr>
          <w:rFonts w:ascii="Calibri" w:hAnsi="Calibri" w:cs="Calibri"/>
          <w:sz w:val="22"/>
          <w:szCs w:val="22"/>
        </w:rPr>
        <w:t>a za što još nisu primljena sredstva na žiro račun</w:t>
      </w:r>
      <w:r w:rsidR="00C17044">
        <w:rPr>
          <w:rFonts w:ascii="Calibri" w:hAnsi="Calibri" w:cs="Calibri"/>
          <w:sz w:val="22"/>
          <w:szCs w:val="22"/>
        </w:rPr>
        <w:t>,</w:t>
      </w:r>
      <w:r w:rsidR="000535A8">
        <w:rPr>
          <w:rFonts w:ascii="Calibri" w:hAnsi="Calibri" w:cs="Calibri"/>
          <w:sz w:val="22"/>
          <w:szCs w:val="22"/>
        </w:rPr>
        <w:t xml:space="preserve"> dok je preostali iznos 214.787,01 € nedospjele obveze.</w:t>
      </w:r>
    </w:p>
    <w:p w14:paraId="6B53DA27" w14:textId="77777777" w:rsidR="00772A74" w:rsidRDefault="00772A74" w:rsidP="00772A74">
      <w:pPr>
        <w:rPr>
          <w:rFonts w:ascii="Calibri" w:hAnsi="Calibri" w:cs="Calibri"/>
          <w:sz w:val="22"/>
          <w:szCs w:val="22"/>
        </w:rPr>
      </w:pPr>
    </w:p>
    <w:p w14:paraId="4B526340" w14:textId="6532A8B5" w:rsidR="00772A74" w:rsidRDefault="00772A74" w:rsidP="00E12A2E">
      <w:pPr>
        <w:pStyle w:val="Odlomakpopisa"/>
        <w:numPr>
          <w:ilvl w:val="0"/>
          <w:numId w:val="3"/>
        </w:numPr>
        <w:rPr>
          <w:rFonts w:ascii="Calibri" w:hAnsi="Calibri" w:cs="Calibri"/>
          <w:iCs/>
          <w:sz w:val="22"/>
          <w:szCs w:val="22"/>
        </w:rPr>
      </w:pPr>
      <w:r w:rsidRPr="00E12A2E">
        <w:rPr>
          <w:rFonts w:ascii="Calibri" w:hAnsi="Calibri" w:cs="Calibri"/>
          <w:iCs/>
          <w:sz w:val="22"/>
          <w:szCs w:val="22"/>
        </w:rPr>
        <w:t>Škola ima 2 sudska radna spora u tijeku, ukupne vrijednosti 13.272,28 €.</w:t>
      </w:r>
    </w:p>
    <w:p w14:paraId="166D8713" w14:textId="77777777" w:rsidR="00EA7341" w:rsidRPr="00EA7341" w:rsidRDefault="00EA7341" w:rsidP="00EA7341">
      <w:pPr>
        <w:rPr>
          <w:rFonts w:ascii="Calibri" w:hAnsi="Calibri" w:cs="Calibri"/>
          <w:iCs/>
          <w:sz w:val="22"/>
          <w:szCs w:val="22"/>
        </w:rPr>
      </w:pPr>
    </w:p>
    <w:p w14:paraId="71A7DB13" w14:textId="571DCDDE" w:rsidR="00EA7341" w:rsidRPr="00D86857" w:rsidRDefault="00EA7341" w:rsidP="00EA7341">
      <w:pPr>
        <w:pStyle w:val="Odlomakpopisa"/>
        <w:rPr>
          <w:rFonts w:ascii="Calibri" w:hAnsi="Calibri" w:cs="Calibri"/>
          <w:iCs/>
        </w:rPr>
      </w:pPr>
      <w:r w:rsidRPr="00D86857">
        <w:rPr>
          <w:rFonts w:ascii="Calibri" w:hAnsi="Calibri" w:cs="Calibri"/>
          <w:iCs/>
        </w:rPr>
        <w:t>Tablica 3. Stanje potraživanja i dospjelih obveza te stanje potencijalnih obveza po osnovi sudskih sporova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430"/>
        <w:gridCol w:w="1967"/>
        <w:gridCol w:w="1987"/>
        <w:gridCol w:w="1958"/>
      </w:tblGrid>
      <w:tr w:rsidR="00EA7341" w14:paraId="76BD1E7B" w14:textId="77777777" w:rsidTr="009D53DE">
        <w:tc>
          <w:tcPr>
            <w:tcW w:w="2430" w:type="dxa"/>
          </w:tcPr>
          <w:p w14:paraId="4BA1E936" w14:textId="3B063A1E" w:rsidR="00EA7341" w:rsidRPr="001E7631" w:rsidRDefault="00EA7341" w:rsidP="00A63248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Opis/naziv kupca/dobavljača/predmet</w:t>
            </w:r>
          </w:p>
        </w:tc>
        <w:tc>
          <w:tcPr>
            <w:tcW w:w="1967" w:type="dxa"/>
          </w:tcPr>
          <w:p w14:paraId="1D7CAC1D" w14:textId="67552E76" w:rsidR="00EA7341" w:rsidRPr="001E7631" w:rsidRDefault="00EA7341" w:rsidP="001A5E29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Stanje nenaplaćenih potraživanja za prihode na dan 3</w:t>
            </w:r>
            <w:r w:rsidR="006C09AC">
              <w:rPr>
                <w:rFonts w:ascii="Calibri" w:hAnsi="Calibri" w:cs="Calibri"/>
                <w:iCs/>
              </w:rPr>
              <w:t>0</w:t>
            </w:r>
            <w:r w:rsidRPr="001E7631">
              <w:rPr>
                <w:rFonts w:ascii="Calibri" w:hAnsi="Calibri" w:cs="Calibri"/>
                <w:iCs/>
              </w:rPr>
              <w:t>.</w:t>
            </w:r>
            <w:r w:rsidR="006C09AC">
              <w:rPr>
                <w:rFonts w:ascii="Calibri" w:hAnsi="Calibri" w:cs="Calibri"/>
                <w:iCs/>
              </w:rPr>
              <w:t>06</w:t>
            </w:r>
            <w:r w:rsidRPr="001E7631">
              <w:rPr>
                <w:rFonts w:ascii="Calibri" w:hAnsi="Calibri" w:cs="Calibri"/>
                <w:iCs/>
              </w:rPr>
              <w:t>.202</w:t>
            </w:r>
            <w:r w:rsidR="006C09AC">
              <w:rPr>
                <w:rFonts w:ascii="Calibri" w:hAnsi="Calibri" w:cs="Calibri"/>
                <w:iCs/>
              </w:rPr>
              <w:t>5</w:t>
            </w:r>
            <w:r w:rsidRPr="001E7631">
              <w:rPr>
                <w:rFonts w:ascii="Calibri" w:hAnsi="Calibri" w:cs="Calibri"/>
                <w:iCs/>
              </w:rPr>
              <w:t>.</w:t>
            </w:r>
          </w:p>
        </w:tc>
        <w:tc>
          <w:tcPr>
            <w:tcW w:w="1987" w:type="dxa"/>
          </w:tcPr>
          <w:p w14:paraId="41C0DF10" w14:textId="37AB3BD5" w:rsidR="00EA7341" w:rsidRPr="001E7631" w:rsidRDefault="00EA7341" w:rsidP="001A5E29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Stanje nepodmirenih dospjelih obveza na dan 31.12.2024.</w:t>
            </w:r>
          </w:p>
          <w:p w14:paraId="52E392CD" w14:textId="77777777" w:rsidR="00EA7341" w:rsidRPr="001E7631" w:rsidRDefault="00EA7341" w:rsidP="001A5E29"/>
        </w:tc>
        <w:tc>
          <w:tcPr>
            <w:tcW w:w="1958" w:type="dxa"/>
          </w:tcPr>
          <w:p w14:paraId="7F839A23" w14:textId="75E325EF" w:rsidR="00EA7341" w:rsidRPr="001E7631" w:rsidRDefault="00EA7341" w:rsidP="001A5E29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Stanje potencijalnih obveza po osnovi sudskih sporova</w:t>
            </w:r>
          </w:p>
        </w:tc>
      </w:tr>
      <w:tr w:rsidR="009D53DE" w14:paraId="1CD1AF27" w14:textId="77777777" w:rsidTr="009D53DE">
        <w:tc>
          <w:tcPr>
            <w:tcW w:w="2430" w:type="dxa"/>
          </w:tcPr>
          <w:p w14:paraId="504758EE" w14:textId="327E06F2" w:rsidR="009D53DE" w:rsidRPr="001E7631" w:rsidRDefault="009D53DE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Nogometni klub Zagorec, rn.br. 49</w:t>
            </w:r>
            <w:r>
              <w:rPr>
                <w:rFonts w:ascii="Calibri" w:hAnsi="Calibri" w:cs="Calibri"/>
                <w:iCs/>
              </w:rPr>
              <w:t>/2024</w:t>
            </w:r>
          </w:p>
        </w:tc>
        <w:tc>
          <w:tcPr>
            <w:tcW w:w="1967" w:type="dxa"/>
          </w:tcPr>
          <w:p w14:paraId="158962CC" w14:textId="38255082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  <w:p w14:paraId="5C2B933A" w14:textId="5E75D050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152,72</w:t>
            </w:r>
          </w:p>
        </w:tc>
        <w:tc>
          <w:tcPr>
            <w:tcW w:w="1987" w:type="dxa"/>
          </w:tcPr>
          <w:p w14:paraId="0EBC0013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58" w:type="dxa"/>
          </w:tcPr>
          <w:p w14:paraId="5D5B90DF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EA7341" w14:paraId="3F1496FC" w14:textId="77777777" w:rsidTr="009D53DE">
        <w:tc>
          <w:tcPr>
            <w:tcW w:w="2430" w:type="dxa"/>
          </w:tcPr>
          <w:p w14:paraId="3339337A" w14:textId="30957370" w:rsidR="00EA7341" w:rsidRPr="001E7631" w:rsidRDefault="00566A1F" w:rsidP="00EA7341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 xml:space="preserve">Nogometni klub Zagorec, rn.br. </w:t>
            </w:r>
            <w:r w:rsidR="009D53DE">
              <w:rPr>
                <w:rFonts w:ascii="Calibri" w:hAnsi="Calibri" w:cs="Calibri"/>
                <w:iCs/>
              </w:rPr>
              <w:t>58/2024</w:t>
            </w:r>
          </w:p>
        </w:tc>
        <w:tc>
          <w:tcPr>
            <w:tcW w:w="1967" w:type="dxa"/>
          </w:tcPr>
          <w:p w14:paraId="466E7AF3" w14:textId="77777777" w:rsidR="009D53DE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  <w:p w14:paraId="34788DA9" w14:textId="16549896" w:rsidR="00EA7341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66,40</w:t>
            </w:r>
          </w:p>
        </w:tc>
        <w:tc>
          <w:tcPr>
            <w:tcW w:w="1987" w:type="dxa"/>
          </w:tcPr>
          <w:p w14:paraId="0FDF6B08" w14:textId="77777777" w:rsidR="00EA7341" w:rsidRPr="001E7631" w:rsidRDefault="00EA7341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58" w:type="dxa"/>
          </w:tcPr>
          <w:p w14:paraId="0919D532" w14:textId="77777777" w:rsidR="00EA7341" w:rsidRPr="001E7631" w:rsidRDefault="00EA7341" w:rsidP="001A5E29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9D53DE" w14:paraId="4E8FE352" w14:textId="77777777" w:rsidTr="009D53DE">
        <w:tc>
          <w:tcPr>
            <w:tcW w:w="2430" w:type="dxa"/>
          </w:tcPr>
          <w:p w14:paraId="1F3EBD40" w14:textId="488B3685" w:rsidR="009D53DE" w:rsidRPr="001E7631" w:rsidRDefault="009D53DE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 xml:space="preserve">Nogometni klub Zagorec, rn.br. </w:t>
            </w:r>
            <w:r>
              <w:rPr>
                <w:rFonts w:ascii="Calibri" w:hAnsi="Calibri" w:cs="Calibri"/>
                <w:iCs/>
              </w:rPr>
              <w:t>8/2025</w:t>
            </w:r>
          </w:p>
        </w:tc>
        <w:tc>
          <w:tcPr>
            <w:tcW w:w="1967" w:type="dxa"/>
          </w:tcPr>
          <w:p w14:paraId="75E2BC09" w14:textId="77777777" w:rsidR="009D53DE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  <w:p w14:paraId="44EEFB85" w14:textId="7D245521" w:rsidR="009D53DE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132,80</w:t>
            </w:r>
          </w:p>
        </w:tc>
        <w:tc>
          <w:tcPr>
            <w:tcW w:w="1987" w:type="dxa"/>
          </w:tcPr>
          <w:p w14:paraId="1F33EACB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58" w:type="dxa"/>
          </w:tcPr>
          <w:p w14:paraId="25C3408B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9D53DE" w14:paraId="62CEDD47" w14:textId="77777777" w:rsidTr="009D53DE">
        <w:tc>
          <w:tcPr>
            <w:tcW w:w="2430" w:type="dxa"/>
          </w:tcPr>
          <w:p w14:paraId="0F1BE355" w14:textId="46001D45" w:rsidR="009D53DE" w:rsidRPr="001E7631" w:rsidRDefault="009D53DE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 xml:space="preserve">Nogometni klub Zagorec, rn.br. </w:t>
            </w:r>
            <w:r>
              <w:rPr>
                <w:rFonts w:ascii="Calibri" w:hAnsi="Calibri" w:cs="Calibri"/>
                <w:iCs/>
              </w:rPr>
              <w:t>15/2025</w:t>
            </w:r>
          </w:p>
        </w:tc>
        <w:tc>
          <w:tcPr>
            <w:tcW w:w="1967" w:type="dxa"/>
          </w:tcPr>
          <w:p w14:paraId="5B0F8313" w14:textId="77777777" w:rsidR="009D53DE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  <w:p w14:paraId="3BECF4FE" w14:textId="76F97522" w:rsidR="009D53DE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119,52</w:t>
            </w:r>
          </w:p>
        </w:tc>
        <w:tc>
          <w:tcPr>
            <w:tcW w:w="1987" w:type="dxa"/>
          </w:tcPr>
          <w:p w14:paraId="0C7F8832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58" w:type="dxa"/>
          </w:tcPr>
          <w:p w14:paraId="1398AA6D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9D53DE" w14:paraId="180EE69B" w14:textId="77777777" w:rsidTr="009D53DE">
        <w:tc>
          <w:tcPr>
            <w:tcW w:w="2430" w:type="dxa"/>
          </w:tcPr>
          <w:p w14:paraId="5842AC2C" w14:textId="77777777" w:rsidR="00665C47" w:rsidRPr="00665C47" w:rsidRDefault="009D53DE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665C47">
              <w:rPr>
                <w:rFonts w:ascii="Calibri" w:hAnsi="Calibri" w:cs="Calibri"/>
                <w:iCs/>
              </w:rPr>
              <w:t>T</w:t>
            </w:r>
            <w:r w:rsidR="00665C47" w:rsidRPr="00665C47">
              <w:rPr>
                <w:rFonts w:ascii="Calibri" w:hAnsi="Calibri" w:cs="Calibri"/>
                <w:iCs/>
              </w:rPr>
              <w:t>.</w:t>
            </w:r>
            <w:r w:rsidRPr="00665C47">
              <w:rPr>
                <w:rFonts w:ascii="Calibri" w:hAnsi="Calibri" w:cs="Calibri"/>
                <w:iCs/>
              </w:rPr>
              <w:t>Š</w:t>
            </w:r>
            <w:r w:rsidR="00665C47" w:rsidRPr="00665C47">
              <w:rPr>
                <w:rFonts w:ascii="Calibri" w:hAnsi="Calibri" w:cs="Calibri"/>
                <w:iCs/>
              </w:rPr>
              <w:t>.</w:t>
            </w:r>
            <w:r w:rsidRPr="00665C47">
              <w:rPr>
                <w:rFonts w:ascii="Calibri" w:hAnsi="Calibri" w:cs="Calibri"/>
                <w:iCs/>
              </w:rPr>
              <w:t>,</w:t>
            </w:r>
          </w:p>
          <w:p w14:paraId="6C78E5B7" w14:textId="6CF042E1" w:rsidR="009D53DE" w:rsidRPr="001E7631" w:rsidRDefault="009D53DE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665C47">
              <w:rPr>
                <w:rFonts w:ascii="Calibri" w:hAnsi="Calibri" w:cs="Calibri"/>
                <w:iCs/>
              </w:rPr>
              <w:t xml:space="preserve"> rn.br.22/2025</w:t>
            </w:r>
          </w:p>
        </w:tc>
        <w:tc>
          <w:tcPr>
            <w:tcW w:w="1967" w:type="dxa"/>
          </w:tcPr>
          <w:p w14:paraId="7DD8887F" w14:textId="77777777" w:rsidR="009D53DE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  <w:p w14:paraId="75119BCF" w14:textId="3E21BF26" w:rsidR="009D53DE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37,16</w:t>
            </w:r>
          </w:p>
        </w:tc>
        <w:tc>
          <w:tcPr>
            <w:tcW w:w="1987" w:type="dxa"/>
          </w:tcPr>
          <w:p w14:paraId="3F9337A1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58" w:type="dxa"/>
          </w:tcPr>
          <w:p w14:paraId="0DC9F6D4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9D53DE" w14:paraId="098443FA" w14:textId="77777777" w:rsidTr="009D53DE">
        <w:tc>
          <w:tcPr>
            <w:tcW w:w="2430" w:type="dxa"/>
          </w:tcPr>
          <w:p w14:paraId="44B89C37" w14:textId="766CDEF1" w:rsidR="009D53DE" w:rsidRDefault="009D53DE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Gimnastički klub Krapina, rn.br.24/2025</w:t>
            </w:r>
          </w:p>
        </w:tc>
        <w:tc>
          <w:tcPr>
            <w:tcW w:w="1967" w:type="dxa"/>
          </w:tcPr>
          <w:p w14:paraId="4170AEBA" w14:textId="77777777" w:rsidR="009D53DE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  <w:p w14:paraId="794DC5C4" w14:textId="614372C5" w:rsidR="009D53DE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179,28</w:t>
            </w:r>
          </w:p>
        </w:tc>
        <w:tc>
          <w:tcPr>
            <w:tcW w:w="1987" w:type="dxa"/>
          </w:tcPr>
          <w:p w14:paraId="37A8DD99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58" w:type="dxa"/>
          </w:tcPr>
          <w:p w14:paraId="644A17E9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B86A72" w14:paraId="02AEBE06" w14:textId="77777777" w:rsidTr="009D53DE">
        <w:tc>
          <w:tcPr>
            <w:tcW w:w="2430" w:type="dxa"/>
          </w:tcPr>
          <w:p w14:paraId="34C32243" w14:textId="5B6BE8D1" w:rsidR="00B86A72" w:rsidRDefault="00B86A72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Zavod za javno zdravstvo, rn.br.2501823</w:t>
            </w:r>
          </w:p>
        </w:tc>
        <w:tc>
          <w:tcPr>
            <w:tcW w:w="1967" w:type="dxa"/>
          </w:tcPr>
          <w:p w14:paraId="3D06369D" w14:textId="77777777" w:rsidR="00B86A72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87" w:type="dxa"/>
          </w:tcPr>
          <w:p w14:paraId="16DA66DD" w14:textId="77777777" w:rsidR="00B86A72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  <w:p w14:paraId="3269E972" w14:textId="4EE32A57" w:rsidR="00B86A72" w:rsidRPr="001E7631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530,60</w:t>
            </w:r>
          </w:p>
        </w:tc>
        <w:tc>
          <w:tcPr>
            <w:tcW w:w="1958" w:type="dxa"/>
          </w:tcPr>
          <w:p w14:paraId="242D8E09" w14:textId="77777777" w:rsidR="00B86A72" w:rsidRPr="001E7631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B86A72" w14:paraId="0E5A6F4D" w14:textId="77777777" w:rsidTr="009D53DE">
        <w:tc>
          <w:tcPr>
            <w:tcW w:w="2430" w:type="dxa"/>
          </w:tcPr>
          <w:p w14:paraId="576D2105" w14:textId="6E66164F" w:rsidR="00B86A72" w:rsidRDefault="00B86A72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Hercegova trgovina d.o.o., rn.br.159-VP0-1</w:t>
            </w:r>
          </w:p>
        </w:tc>
        <w:tc>
          <w:tcPr>
            <w:tcW w:w="1967" w:type="dxa"/>
          </w:tcPr>
          <w:p w14:paraId="109891A3" w14:textId="77777777" w:rsidR="00B86A72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87" w:type="dxa"/>
          </w:tcPr>
          <w:p w14:paraId="157060EF" w14:textId="77777777" w:rsidR="00B86A72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  <w:p w14:paraId="4817E55E" w14:textId="51A1C8DF" w:rsidR="00B86A72" w:rsidRPr="001E7631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6.265,30</w:t>
            </w:r>
          </w:p>
        </w:tc>
        <w:tc>
          <w:tcPr>
            <w:tcW w:w="1958" w:type="dxa"/>
          </w:tcPr>
          <w:p w14:paraId="57C7281B" w14:textId="77777777" w:rsidR="00B86A72" w:rsidRPr="001E7631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B86A72" w14:paraId="4D2C6B14" w14:textId="77777777" w:rsidTr="009D53DE">
        <w:tc>
          <w:tcPr>
            <w:tcW w:w="2430" w:type="dxa"/>
          </w:tcPr>
          <w:p w14:paraId="40A74C53" w14:textId="77777777" w:rsidR="00B86A72" w:rsidRDefault="00B86A72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Lukvel d.o.o. , </w:t>
            </w:r>
          </w:p>
          <w:p w14:paraId="75371FA0" w14:textId="52E89BA1" w:rsidR="00B86A72" w:rsidRDefault="00B86A72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rn.br. 357-01-91</w:t>
            </w:r>
          </w:p>
        </w:tc>
        <w:tc>
          <w:tcPr>
            <w:tcW w:w="1967" w:type="dxa"/>
          </w:tcPr>
          <w:p w14:paraId="5EC520DA" w14:textId="77777777" w:rsidR="00B86A72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87" w:type="dxa"/>
          </w:tcPr>
          <w:p w14:paraId="2EFCAF74" w14:textId="77777777" w:rsidR="00B86A72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  <w:p w14:paraId="4B8A4268" w14:textId="36BDD71B" w:rsidR="00B86A72" w:rsidRPr="001E7631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1.812,50</w:t>
            </w:r>
          </w:p>
        </w:tc>
        <w:tc>
          <w:tcPr>
            <w:tcW w:w="1958" w:type="dxa"/>
          </w:tcPr>
          <w:p w14:paraId="12226940" w14:textId="77777777" w:rsidR="00B86A72" w:rsidRPr="001E7631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B86A72" w14:paraId="614BDD73" w14:textId="77777777" w:rsidTr="009D53DE">
        <w:tc>
          <w:tcPr>
            <w:tcW w:w="2430" w:type="dxa"/>
          </w:tcPr>
          <w:p w14:paraId="62DE45C1" w14:textId="77777777" w:rsidR="00B86A72" w:rsidRDefault="00B86A72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Stolarija Zemljić, </w:t>
            </w:r>
          </w:p>
          <w:p w14:paraId="3E4C581E" w14:textId="50DA543B" w:rsidR="00B86A72" w:rsidRDefault="00B86A72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rn.br.7</w:t>
            </w:r>
          </w:p>
        </w:tc>
        <w:tc>
          <w:tcPr>
            <w:tcW w:w="1967" w:type="dxa"/>
          </w:tcPr>
          <w:p w14:paraId="11DD52FD" w14:textId="77777777" w:rsidR="00B86A72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87" w:type="dxa"/>
          </w:tcPr>
          <w:p w14:paraId="320913E6" w14:textId="77777777" w:rsidR="00B86A72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  <w:p w14:paraId="72C57073" w14:textId="09A5A073" w:rsidR="00B86A72" w:rsidRPr="001E7631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5.187,50</w:t>
            </w:r>
          </w:p>
        </w:tc>
        <w:tc>
          <w:tcPr>
            <w:tcW w:w="1958" w:type="dxa"/>
          </w:tcPr>
          <w:p w14:paraId="1B77E2FE" w14:textId="77777777" w:rsidR="00B86A72" w:rsidRPr="001E7631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B86A72" w14:paraId="31EAD36A" w14:textId="77777777" w:rsidTr="009D53DE">
        <w:tc>
          <w:tcPr>
            <w:tcW w:w="2430" w:type="dxa"/>
          </w:tcPr>
          <w:p w14:paraId="5ACC83B1" w14:textId="77777777" w:rsidR="00B86A72" w:rsidRDefault="00B86A72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Veverec 91 d.o.o., </w:t>
            </w:r>
          </w:p>
          <w:p w14:paraId="7E583420" w14:textId="25417259" w:rsidR="00B86A72" w:rsidRDefault="00B86A72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rn.br. 183/PJ/1</w:t>
            </w:r>
          </w:p>
        </w:tc>
        <w:tc>
          <w:tcPr>
            <w:tcW w:w="1967" w:type="dxa"/>
          </w:tcPr>
          <w:p w14:paraId="18D4AF61" w14:textId="77777777" w:rsidR="00B86A72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87" w:type="dxa"/>
          </w:tcPr>
          <w:p w14:paraId="569BFE39" w14:textId="77777777" w:rsidR="00B86A72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  <w:p w14:paraId="3258EA8A" w14:textId="53A1D1A7" w:rsidR="00B86A72" w:rsidRPr="001E7631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300,00</w:t>
            </w:r>
          </w:p>
        </w:tc>
        <w:tc>
          <w:tcPr>
            <w:tcW w:w="1958" w:type="dxa"/>
          </w:tcPr>
          <w:p w14:paraId="182A82DB" w14:textId="77777777" w:rsidR="00B86A72" w:rsidRPr="001E7631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B86A72" w14:paraId="1269CD06" w14:textId="77777777" w:rsidTr="009D53DE">
        <w:tc>
          <w:tcPr>
            <w:tcW w:w="2430" w:type="dxa"/>
          </w:tcPr>
          <w:p w14:paraId="1B046137" w14:textId="77777777" w:rsidR="00B86A72" w:rsidRDefault="00B86A72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Školske novine,</w:t>
            </w:r>
          </w:p>
          <w:p w14:paraId="1333C801" w14:textId="121239B3" w:rsidR="00B86A72" w:rsidRDefault="00B86A72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rn.br.1135-3-1</w:t>
            </w:r>
          </w:p>
        </w:tc>
        <w:tc>
          <w:tcPr>
            <w:tcW w:w="1967" w:type="dxa"/>
          </w:tcPr>
          <w:p w14:paraId="448C87D5" w14:textId="77777777" w:rsidR="00B86A72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87" w:type="dxa"/>
          </w:tcPr>
          <w:p w14:paraId="0566EBA3" w14:textId="77777777" w:rsidR="00B86A72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  <w:p w14:paraId="5E43DC6E" w14:textId="7E55D9E2" w:rsidR="00B86A72" w:rsidRPr="001E7631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55,00</w:t>
            </w:r>
          </w:p>
        </w:tc>
        <w:tc>
          <w:tcPr>
            <w:tcW w:w="1958" w:type="dxa"/>
          </w:tcPr>
          <w:p w14:paraId="6C6C50EF" w14:textId="77777777" w:rsidR="00B86A72" w:rsidRPr="001E7631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9D53DE" w14:paraId="15BB4F7C" w14:textId="77777777" w:rsidTr="009D53DE">
        <w:tc>
          <w:tcPr>
            <w:tcW w:w="2430" w:type="dxa"/>
          </w:tcPr>
          <w:p w14:paraId="13F127C1" w14:textId="3029AE1E" w:rsidR="009D53DE" w:rsidRPr="001E7631" w:rsidRDefault="009D53DE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Predmet br. 3/2024/radni spor</w:t>
            </w:r>
            <w:r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1967" w:type="dxa"/>
          </w:tcPr>
          <w:p w14:paraId="258EC14D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87" w:type="dxa"/>
          </w:tcPr>
          <w:p w14:paraId="709A6490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58" w:type="dxa"/>
          </w:tcPr>
          <w:p w14:paraId="6E10CDFD" w14:textId="1AC13861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6.636,14</w:t>
            </w:r>
          </w:p>
        </w:tc>
      </w:tr>
      <w:tr w:rsidR="009D53DE" w14:paraId="414E60BC" w14:textId="77777777" w:rsidTr="009D53DE">
        <w:tc>
          <w:tcPr>
            <w:tcW w:w="2430" w:type="dxa"/>
          </w:tcPr>
          <w:p w14:paraId="4DE5032A" w14:textId="473127C7" w:rsidR="009D53DE" w:rsidRPr="001E7631" w:rsidRDefault="009D53DE" w:rsidP="009D53DE">
            <w:pPr>
              <w:pStyle w:val="Odlomakpopisa"/>
              <w:ind w:left="0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Predmet br. 10/2024/radni spor</w:t>
            </w:r>
            <w:r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1967" w:type="dxa"/>
          </w:tcPr>
          <w:p w14:paraId="65B74829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87" w:type="dxa"/>
          </w:tcPr>
          <w:p w14:paraId="435827EF" w14:textId="77777777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958" w:type="dxa"/>
          </w:tcPr>
          <w:p w14:paraId="2800C9E7" w14:textId="784E9F8F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iCs/>
              </w:rPr>
            </w:pPr>
            <w:r w:rsidRPr="001E7631">
              <w:rPr>
                <w:rFonts w:ascii="Calibri" w:hAnsi="Calibri" w:cs="Calibri"/>
                <w:iCs/>
              </w:rPr>
              <w:t>6.636,14</w:t>
            </w:r>
          </w:p>
        </w:tc>
      </w:tr>
      <w:tr w:rsidR="009D53DE" w14:paraId="2D60977D" w14:textId="77777777" w:rsidTr="009D53DE">
        <w:tc>
          <w:tcPr>
            <w:tcW w:w="2430" w:type="dxa"/>
          </w:tcPr>
          <w:p w14:paraId="76E1E083" w14:textId="31AC3A9E" w:rsidR="009D53DE" w:rsidRPr="001E7631" w:rsidRDefault="009D53DE" w:rsidP="009D53DE">
            <w:pPr>
              <w:pStyle w:val="Odlomakpopisa"/>
              <w:ind w:left="0"/>
              <w:jc w:val="right"/>
              <w:rPr>
                <w:rFonts w:ascii="Calibri" w:hAnsi="Calibri" w:cs="Calibri"/>
                <w:b/>
                <w:bCs/>
                <w:iCs/>
              </w:rPr>
            </w:pPr>
            <w:r w:rsidRPr="001E7631">
              <w:rPr>
                <w:rFonts w:ascii="Calibri" w:hAnsi="Calibri" w:cs="Calibri"/>
                <w:b/>
                <w:bCs/>
                <w:iCs/>
              </w:rPr>
              <w:t>UKUPNO:</w:t>
            </w:r>
          </w:p>
        </w:tc>
        <w:tc>
          <w:tcPr>
            <w:tcW w:w="1967" w:type="dxa"/>
          </w:tcPr>
          <w:p w14:paraId="526F0816" w14:textId="0B3A35BA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687,88</w:t>
            </w:r>
          </w:p>
        </w:tc>
        <w:tc>
          <w:tcPr>
            <w:tcW w:w="1987" w:type="dxa"/>
          </w:tcPr>
          <w:p w14:paraId="08960FA2" w14:textId="18618D71" w:rsidR="009D53DE" w:rsidRPr="001E7631" w:rsidRDefault="00B86A72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14.150,90</w:t>
            </w:r>
          </w:p>
        </w:tc>
        <w:tc>
          <w:tcPr>
            <w:tcW w:w="1958" w:type="dxa"/>
          </w:tcPr>
          <w:p w14:paraId="7FE272F1" w14:textId="1CCA3F86" w:rsidR="009D53DE" w:rsidRPr="001E7631" w:rsidRDefault="009D53DE" w:rsidP="009D53DE">
            <w:pPr>
              <w:pStyle w:val="Odlomakpopisa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E7631">
              <w:rPr>
                <w:rFonts w:ascii="Calibri" w:hAnsi="Calibri" w:cs="Calibri"/>
                <w:b/>
                <w:bCs/>
                <w:iCs/>
              </w:rPr>
              <w:t>13.272,28</w:t>
            </w:r>
          </w:p>
        </w:tc>
      </w:tr>
    </w:tbl>
    <w:p w14:paraId="14DCB210" w14:textId="77777777" w:rsidR="00EA7341" w:rsidRPr="00E12A2E" w:rsidRDefault="00EA7341" w:rsidP="00EA7341">
      <w:pPr>
        <w:pStyle w:val="Odlomakpopisa"/>
        <w:rPr>
          <w:rFonts w:ascii="Calibri" w:hAnsi="Calibri" w:cs="Calibri"/>
          <w:iCs/>
          <w:sz w:val="22"/>
          <w:szCs w:val="22"/>
        </w:rPr>
      </w:pPr>
    </w:p>
    <w:p w14:paraId="30B56D44" w14:textId="77777777" w:rsidR="00772A74" w:rsidRPr="00772A74" w:rsidRDefault="00772A74" w:rsidP="00772A74">
      <w:pPr>
        <w:rPr>
          <w:rFonts w:ascii="Calibri" w:hAnsi="Calibri" w:cs="Calibri"/>
          <w:sz w:val="22"/>
          <w:szCs w:val="22"/>
        </w:rPr>
      </w:pPr>
    </w:p>
    <w:p w14:paraId="57795181" w14:textId="7B766ED5" w:rsidR="003D4FD5" w:rsidRDefault="003D4FD5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4.</w:t>
      </w:r>
      <w:r w:rsidR="00E12A2E">
        <w:rPr>
          <w:rFonts w:ascii="Calibri" w:hAnsi="Calibri" w:cs="Calibri"/>
          <w:iCs/>
          <w:sz w:val="22"/>
          <w:szCs w:val="22"/>
        </w:rPr>
        <w:t>5</w:t>
      </w:r>
      <w:r>
        <w:rPr>
          <w:rFonts w:ascii="Calibri" w:hAnsi="Calibri" w:cs="Calibri"/>
          <w:iCs/>
          <w:sz w:val="22"/>
          <w:szCs w:val="22"/>
        </w:rPr>
        <w:t>. Podaci o stanju novčanih sredstava na računu HR0723400091110021155</w:t>
      </w:r>
      <w:r w:rsidR="007926BB">
        <w:rPr>
          <w:rFonts w:ascii="Calibri" w:hAnsi="Calibri" w:cs="Calibri"/>
          <w:iCs/>
          <w:sz w:val="22"/>
          <w:szCs w:val="22"/>
        </w:rPr>
        <w:t>:</w:t>
      </w:r>
    </w:p>
    <w:p w14:paraId="3946C3B7" w14:textId="1F9CDDC7" w:rsidR="003D4FD5" w:rsidRPr="00772A74" w:rsidRDefault="003D4FD5" w:rsidP="00772A74">
      <w:pPr>
        <w:pStyle w:val="Odlomakpopisa"/>
        <w:numPr>
          <w:ilvl w:val="0"/>
          <w:numId w:val="5"/>
        </w:numPr>
        <w:rPr>
          <w:rFonts w:ascii="Calibri" w:hAnsi="Calibri" w:cs="Calibri"/>
          <w:iCs/>
          <w:sz w:val="22"/>
          <w:szCs w:val="22"/>
        </w:rPr>
      </w:pPr>
      <w:r w:rsidRPr="00772A74">
        <w:rPr>
          <w:rFonts w:ascii="Calibri" w:hAnsi="Calibri" w:cs="Calibri"/>
          <w:iCs/>
          <w:sz w:val="22"/>
          <w:szCs w:val="22"/>
        </w:rPr>
        <w:t>stanje na dan 01.01.202</w:t>
      </w:r>
      <w:r w:rsidR="006C09AC">
        <w:rPr>
          <w:rFonts w:ascii="Calibri" w:hAnsi="Calibri" w:cs="Calibri"/>
          <w:iCs/>
          <w:sz w:val="22"/>
          <w:szCs w:val="22"/>
        </w:rPr>
        <w:t>5</w:t>
      </w:r>
      <w:r w:rsidRPr="00772A74">
        <w:rPr>
          <w:rFonts w:ascii="Calibri" w:hAnsi="Calibri" w:cs="Calibri"/>
          <w:iCs/>
          <w:sz w:val="22"/>
          <w:szCs w:val="22"/>
        </w:rPr>
        <w:t xml:space="preserve">. iznosi </w:t>
      </w:r>
      <w:r w:rsidR="006C09AC">
        <w:rPr>
          <w:rFonts w:ascii="Calibri" w:hAnsi="Calibri" w:cs="Calibri"/>
          <w:iCs/>
          <w:sz w:val="22"/>
          <w:szCs w:val="22"/>
        </w:rPr>
        <w:t>19.197,50</w:t>
      </w:r>
      <w:r w:rsidRPr="00772A74">
        <w:rPr>
          <w:rFonts w:ascii="Calibri" w:hAnsi="Calibri" w:cs="Calibri"/>
          <w:iCs/>
          <w:sz w:val="22"/>
          <w:szCs w:val="22"/>
        </w:rPr>
        <w:t xml:space="preserve"> €</w:t>
      </w:r>
    </w:p>
    <w:p w14:paraId="59C91F62" w14:textId="6FD8C220" w:rsidR="003D4FD5" w:rsidRPr="00772A74" w:rsidRDefault="003D4FD5" w:rsidP="00772A74">
      <w:pPr>
        <w:pStyle w:val="Odlomakpopisa"/>
        <w:numPr>
          <w:ilvl w:val="0"/>
          <w:numId w:val="5"/>
        </w:numPr>
        <w:rPr>
          <w:rFonts w:ascii="Calibri" w:hAnsi="Calibri" w:cs="Calibri"/>
          <w:iCs/>
          <w:sz w:val="22"/>
          <w:szCs w:val="22"/>
        </w:rPr>
      </w:pPr>
      <w:r w:rsidRPr="00772A74">
        <w:rPr>
          <w:rFonts w:ascii="Calibri" w:hAnsi="Calibri" w:cs="Calibri"/>
          <w:iCs/>
          <w:sz w:val="22"/>
          <w:szCs w:val="22"/>
        </w:rPr>
        <w:t>stanje na dan 3</w:t>
      </w:r>
      <w:r w:rsidR="006C09AC">
        <w:rPr>
          <w:rFonts w:ascii="Calibri" w:hAnsi="Calibri" w:cs="Calibri"/>
          <w:iCs/>
          <w:sz w:val="22"/>
          <w:szCs w:val="22"/>
        </w:rPr>
        <w:t>0</w:t>
      </w:r>
      <w:r w:rsidRPr="00772A74">
        <w:rPr>
          <w:rFonts w:ascii="Calibri" w:hAnsi="Calibri" w:cs="Calibri"/>
          <w:iCs/>
          <w:sz w:val="22"/>
          <w:szCs w:val="22"/>
        </w:rPr>
        <w:t>.</w:t>
      </w:r>
      <w:r w:rsidR="006C09AC">
        <w:rPr>
          <w:rFonts w:ascii="Calibri" w:hAnsi="Calibri" w:cs="Calibri"/>
          <w:iCs/>
          <w:sz w:val="22"/>
          <w:szCs w:val="22"/>
        </w:rPr>
        <w:t>06</w:t>
      </w:r>
      <w:r w:rsidRPr="00772A74">
        <w:rPr>
          <w:rFonts w:ascii="Calibri" w:hAnsi="Calibri" w:cs="Calibri"/>
          <w:iCs/>
          <w:sz w:val="22"/>
          <w:szCs w:val="22"/>
        </w:rPr>
        <w:t>.202</w:t>
      </w:r>
      <w:r w:rsidR="006C09AC">
        <w:rPr>
          <w:rFonts w:ascii="Calibri" w:hAnsi="Calibri" w:cs="Calibri"/>
          <w:iCs/>
          <w:sz w:val="22"/>
          <w:szCs w:val="22"/>
        </w:rPr>
        <w:t>5</w:t>
      </w:r>
      <w:r w:rsidRPr="00772A74">
        <w:rPr>
          <w:rFonts w:ascii="Calibri" w:hAnsi="Calibri" w:cs="Calibri"/>
          <w:iCs/>
          <w:sz w:val="22"/>
          <w:szCs w:val="22"/>
        </w:rPr>
        <w:t>. iznosi</w:t>
      </w:r>
      <w:r w:rsidR="00423F8E" w:rsidRPr="00772A74">
        <w:rPr>
          <w:rFonts w:ascii="Calibri" w:hAnsi="Calibri" w:cs="Calibri"/>
          <w:iCs/>
          <w:sz w:val="22"/>
          <w:szCs w:val="22"/>
        </w:rPr>
        <w:t xml:space="preserve"> </w:t>
      </w:r>
      <w:r w:rsidR="006C09AC">
        <w:rPr>
          <w:rFonts w:ascii="Calibri" w:hAnsi="Calibri" w:cs="Calibri"/>
          <w:iCs/>
          <w:sz w:val="22"/>
          <w:szCs w:val="22"/>
        </w:rPr>
        <w:t>4.</w:t>
      </w:r>
      <w:r w:rsidR="000535A8">
        <w:rPr>
          <w:rFonts w:ascii="Calibri" w:hAnsi="Calibri" w:cs="Calibri"/>
          <w:iCs/>
          <w:sz w:val="22"/>
          <w:szCs w:val="22"/>
        </w:rPr>
        <w:t>516,26</w:t>
      </w:r>
      <w:r w:rsidRPr="00772A74">
        <w:rPr>
          <w:rFonts w:ascii="Calibri" w:hAnsi="Calibri" w:cs="Calibri"/>
          <w:iCs/>
          <w:sz w:val="22"/>
          <w:szCs w:val="22"/>
        </w:rPr>
        <w:t xml:space="preserve"> €</w:t>
      </w:r>
    </w:p>
    <w:p w14:paraId="5F0A40F1" w14:textId="77777777" w:rsidR="003D4FD5" w:rsidRDefault="003D4FD5" w:rsidP="00D06F33">
      <w:pPr>
        <w:rPr>
          <w:rFonts w:ascii="Calibri" w:hAnsi="Calibri" w:cs="Calibri"/>
          <w:iCs/>
          <w:sz w:val="22"/>
          <w:szCs w:val="22"/>
        </w:rPr>
      </w:pPr>
    </w:p>
    <w:p w14:paraId="055BCBF7" w14:textId="77777777" w:rsidR="006072EE" w:rsidRDefault="006072EE" w:rsidP="00D06F33">
      <w:pPr>
        <w:rPr>
          <w:rFonts w:ascii="Calibri" w:hAnsi="Calibri" w:cs="Calibri"/>
          <w:iCs/>
          <w:sz w:val="22"/>
          <w:szCs w:val="22"/>
        </w:rPr>
      </w:pPr>
    </w:p>
    <w:p w14:paraId="5FCE4B79" w14:textId="227B7BB3" w:rsidR="00C33C6D" w:rsidRDefault="001A7A72" w:rsidP="003F2E73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Predsjednik Školskog odbora</w:t>
      </w:r>
    </w:p>
    <w:p w14:paraId="52B71BC4" w14:textId="3B45E0C2" w:rsidR="00EC0070" w:rsidRDefault="001A7A72" w:rsidP="003F2E73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Ivan Zubić</w:t>
      </w:r>
    </w:p>
    <w:p w14:paraId="6E3A5139" w14:textId="409F3C10" w:rsidR="00B809BD" w:rsidRPr="003F2E73" w:rsidRDefault="00B809BD" w:rsidP="003F2E73">
      <w:pPr>
        <w:jc w:val="right"/>
        <w:rPr>
          <w:rFonts w:ascii="Calibri" w:hAnsi="Calibri" w:cs="Calibri"/>
          <w:iCs/>
          <w:sz w:val="22"/>
          <w:szCs w:val="22"/>
        </w:rPr>
      </w:pPr>
    </w:p>
    <w:sectPr w:rsidR="00B809BD" w:rsidRPr="003F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AF9"/>
    <w:multiLevelType w:val="hybridMultilevel"/>
    <w:tmpl w:val="F98AED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17EB"/>
    <w:multiLevelType w:val="hybridMultilevel"/>
    <w:tmpl w:val="B518F1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B45DA"/>
    <w:multiLevelType w:val="hybridMultilevel"/>
    <w:tmpl w:val="23942DAA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465F5FE4"/>
    <w:multiLevelType w:val="hybridMultilevel"/>
    <w:tmpl w:val="6E6207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2A6D03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E67F2"/>
    <w:multiLevelType w:val="hybridMultilevel"/>
    <w:tmpl w:val="5EBCC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0BAB"/>
    <w:multiLevelType w:val="hybridMultilevel"/>
    <w:tmpl w:val="EDEC0E9E"/>
    <w:lvl w:ilvl="0" w:tplc="3AEE2A74">
      <w:start w:val="5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32553633">
    <w:abstractNumId w:val="5"/>
  </w:num>
  <w:num w:numId="2" w16cid:durableId="1437092280">
    <w:abstractNumId w:val="4"/>
  </w:num>
  <w:num w:numId="3" w16cid:durableId="128941648">
    <w:abstractNumId w:val="0"/>
  </w:num>
  <w:num w:numId="4" w16cid:durableId="1451632969">
    <w:abstractNumId w:val="1"/>
  </w:num>
  <w:num w:numId="5" w16cid:durableId="463543269">
    <w:abstractNumId w:val="3"/>
  </w:num>
  <w:num w:numId="6" w16cid:durableId="285427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66"/>
    <w:rsid w:val="00000499"/>
    <w:rsid w:val="00004D62"/>
    <w:rsid w:val="00005D71"/>
    <w:rsid w:val="0000671D"/>
    <w:rsid w:val="00006B67"/>
    <w:rsid w:val="00026044"/>
    <w:rsid w:val="00027707"/>
    <w:rsid w:val="00031A6E"/>
    <w:rsid w:val="00040F86"/>
    <w:rsid w:val="00047075"/>
    <w:rsid w:val="000476B4"/>
    <w:rsid w:val="00050A82"/>
    <w:rsid w:val="000535A8"/>
    <w:rsid w:val="00056B0C"/>
    <w:rsid w:val="00056DDD"/>
    <w:rsid w:val="00057EDB"/>
    <w:rsid w:val="000672BF"/>
    <w:rsid w:val="0008205D"/>
    <w:rsid w:val="00087EB8"/>
    <w:rsid w:val="00092225"/>
    <w:rsid w:val="000957CB"/>
    <w:rsid w:val="000A0402"/>
    <w:rsid w:val="000A31F7"/>
    <w:rsid w:val="000A77EB"/>
    <w:rsid w:val="000A7A59"/>
    <w:rsid w:val="000B0842"/>
    <w:rsid w:val="000C6F91"/>
    <w:rsid w:val="000D1536"/>
    <w:rsid w:val="000D5713"/>
    <w:rsid w:val="000E1C8E"/>
    <w:rsid w:val="000E5957"/>
    <w:rsid w:val="000F015D"/>
    <w:rsid w:val="000F0B97"/>
    <w:rsid w:val="000F26A7"/>
    <w:rsid w:val="00100B00"/>
    <w:rsid w:val="00103EAD"/>
    <w:rsid w:val="0011451E"/>
    <w:rsid w:val="00120BE7"/>
    <w:rsid w:val="001279D4"/>
    <w:rsid w:val="00127F3E"/>
    <w:rsid w:val="00130101"/>
    <w:rsid w:val="0013097E"/>
    <w:rsid w:val="001313B4"/>
    <w:rsid w:val="00132C36"/>
    <w:rsid w:val="00142FC2"/>
    <w:rsid w:val="00154DC7"/>
    <w:rsid w:val="0015564D"/>
    <w:rsid w:val="00161594"/>
    <w:rsid w:val="00190CA5"/>
    <w:rsid w:val="00194A09"/>
    <w:rsid w:val="001A26D7"/>
    <w:rsid w:val="001A5E29"/>
    <w:rsid w:val="001A7A72"/>
    <w:rsid w:val="001A7F6A"/>
    <w:rsid w:val="001B0D32"/>
    <w:rsid w:val="001B11D0"/>
    <w:rsid w:val="001B35B3"/>
    <w:rsid w:val="001B3773"/>
    <w:rsid w:val="001C5B10"/>
    <w:rsid w:val="001D12D6"/>
    <w:rsid w:val="001D6C64"/>
    <w:rsid w:val="001E010A"/>
    <w:rsid w:val="001E151A"/>
    <w:rsid w:val="001E7631"/>
    <w:rsid w:val="001F2F11"/>
    <w:rsid w:val="001F332E"/>
    <w:rsid w:val="001F6AFE"/>
    <w:rsid w:val="00203E91"/>
    <w:rsid w:val="00204AF1"/>
    <w:rsid w:val="00206780"/>
    <w:rsid w:val="0021099F"/>
    <w:rsid w:val="00213A23"/>
    <w:rsid w:val="00214B5E"/>
    <w:rsid w:val="00226952"/>
    <w:rsid w:val="0024219F"/>
    <w:rsid w:val="00242FEE"/>
    <w:rsid w:val="00243396"/>
    <w:rsid w:val="002476A3"/>
    <w:rsid w:val="0025145B"/>
    <w:rsid w:val="00271A0F"/>
    <w:rsid w:val="0027386E"/>
    <w:rsid w:val="00280292"/>
    <w:rsid w:val="00281E36"/>
    <w:rsid w:val="00282689"/>
    <w:rsid w:val="00291DDF"/>
    <w:rsid w:val="0029257F"/>
    <w:rsid w:val="002A1795"/>
    <w:rsid w:val="002A31A4"/>
    <w:rsid w:val="002C1CB3"/>
    <w:rsid w:val="002C4797"/>
    <w:rsid w:val="002C4902"/>
    <w:rsid w:val="002D2F4F"/>
    <w:rsid w:val="002E403A"/>
    <w:rsid w:val="002F2FAF"/>
    <w:rsid w:val="0031444F"/>
    <w:rsid w:val="00332963"/>
    <w:rsid w:val="00336D56"/>
    <w:rsid w:val="0034024D"/>
    <w:rsid w:val="00366487"/>
    <w:rsid w:val="003746AC"/>
    <w:rsid w:val="0037744F"/>
    <w:rsid w:val="00396860"/>
    <w:rsid w:val="003A0847"/>
    <w:rsid w:val="003A147E"/>
    <w:rsid w:val="003A586B"/>
    <w:rsid w:val="003A7152"/>
    <w:rsid w:val="003A7730"/>
    <w:rsid w:val="003B20EA"/>
    <w:rsid w:val="003B2E10"/>
    <w:rsid w:val="003B307D"/>
    <w:rsid w:val="003B31D6"/>
    <w:rsid w:val="003B71AB"/>
    <w:rsid w:val="003C2A9F"/>
    <w:rsid w:val="003C78EA"/>
    <w:rsid w:val="003D4FD5"/>
    <w:rsid w:val="003D53BE"/>
    <w:rsid w:val="003E001D"/>
    <w:rsid w:val="003E1B85"/>
    <w:rsid w:val="003E402C"/>
    <w:rsid w:val="003F2E73"/>
    <w:rsid w:val="003F30D8"/>
    <w:rsid w:val="003F693A"/>
    <w:rsid w:val="00404501"/>
    <w:rsid w:val="004106EF"/>
    <w:rsid w:val="00416ACA"/>
    <w:rsid w:val="00421087"/>
    <w:rsid w:val="0042376D"/>
    <w:rsid w:val="00423F8E"/>
    <w:rsid w:val="00425E91"/>
    <w:rsid w:val="00427A1B"/>
    <w:rsid w:val="004362ED"/>
    <w:rsid w:val="0044008F"/>
    <w:rsid w:val="00445A2B"/>
    <w:rsid w:val="00445B9D"/>
    <w:rsid w:val="0045354A"/>
    <w:rsid w:val="004558B1"/>
    <w:rsid w:val="004604D5"/>
    <w:rsid w:val="004618AB"/>
    <w:rsid w:val="00470972"/>
    <w:rsid w:val="00473011"/>
    <w:rsid w:val="004750CF"/>
    <w:rsid w:val="004827D1"/>
    <w:rsid w:val="00485C36"/>
    <w:rsid w:val="00490321"/>
    <w:rsid w:val="00495EC9"/>
    <w:rsid w:val="00497A18"/>
    <w:rsid w:val="004B19C0"/>
    <w:rsid w:val="004C1009"/>
    <w:rsid w:val="004D1138"/>
    <w:rsid w:val="004D1D98"/>
    <w:rsid w:val="004D5142"/>
    <w:rsid w:val="004D7367"/>
    <w:rsid w:val="004E0D65"/>
    <w:rsid w:val="004E1BE3"/>
    <w:rsid w:val="004F4593"/>
    <w:rsid w:val="004F49C9"/>
    <w:rsid w:val="00501204"/>
    <w:rsid w:val="005068DB"/>
    <w:rsid w:val="005076C1"/>
    <w:rsid w:val="005079F7"/>
    <w:rsid w:val="0051541D"/>
    <w:rsid w:val="00525EC7"/>
    <w:rsid w:val="0053367A"/>
    <w:rsid w:val="00537E62"/>
    <w:rsid w:val="00544FE8"/>
    <w:rsid w:val="00545672"/>
    <w:rsid w:val="0054599F"/>
    <w:rsid w:val="00550D3C"/>
    <w:rsid w:val="00555D0F"/>
    <w:rsid w:val="0055738F"/>
    <w:rsid w:val="00560F05"/>
    <w:rsid w:val="00563885"/>
    <w:rsid w:val="00566A1F"/>
    <w:rsid w:val="005678FB"/>
    <w:rsid w:val="00580CD8"/>
    <w:rsid w:val="005822EB"/>
    <w:rsid w:val="00590DF6"/>
    <w:rsid w:val="00591E8A"/>
    <w:rsid w:val="00593010"/>
    <w:rsid w:val="00595A02"/>
    <w:rsid w:val="005A30C4"/>
    <w:rsid w:val="005A525D"/>
    <w:rsid w:val="005B611A"/>
    <w:rsid w:val="005C4091"/>
    <w:rsid w:val="005C7011"/>
    <w:rsid w:val="005D2799"/>
    <w:rsid w:val="005E262F"/>
    <w:rsid w:val="005E2A45"/>
    <w:rsid w:val="005E6B9A"/>
    <w:rsid w:val="005F2C65"/>
    <w:rsid w:val="005F384C"/>
    <w:rsid w:val="00605A9D"/>
    <w:rsid w:val="00605FE0"/>
    <w:rsid w:val="006072EE"/>
    <w:rsid w:val="00612771"/>
    <w:rsid w:val="00615E4F"/>
    <w:rsid w:val="00615FE0"/>
    <w:rsid w:val="006175B1"/>
    <w:rsid w:val="006209A6"/>
    <w:rsid w:val="00621B0F"/>
    <w:rsid w:val="00622679"/>
    <w:rsid w:val="006232E2"/>
    <w:rsid w:val="00623BC5"/>
    <w:rsid w:val="006373B1"/>
    <w:rsid w:val="00642245"/>
    <w:rsid w:val="006449DD"/>
    <w:rsid w:val="00653772"/>
    <w:rsid w:val="00657BBC"/>
    <w:rsid w:val="00663578"/>
    <w:rsid w:val="00665C47"/>
    <w:rsid w:val="00665F17"/>
    <w:rsid w:val="006674CE"/>
    <w:rsid w:val="00673E7A"/>
    <w:rsid w:val="0067775E"/>
    <w:rsid w:val="00680248"/>
    <w:rsid w:val="006941B7"/>
    <w:rsid w:val="006A2485"/>
    <w:rsid w:val="006A26D0"/>
    <w:rsid w:val="006B37CF"/>
    <w:rsid w:val="006B5562"/>
    <w:rsid w:val="006C0978"/>
    <w:rsid w:val="006C09AC"/>
    <w:rsid w:val="006D4D34"/>
    <w:rsid w:val="006D64AE"/>
    <w:rsid w:val="006D7891"/>
    <w:rsid w:val="006E53E9"/>
    <w:rsid w:val="006E66CF"/>
    <w:rsid w:val="006E7442"/>
    <w:rsid w:val="006E7A7C"/>
    <w:rsid w:val="006F10A7"/>
    <w:rsid w:val="006F3A7A"/>
    <w:rsid w:val="006F52CE"/>
    <w:rsid w:val="00700BE5"/>
    <w:rsid w:val="00702E1F"/>
    <w:rsid w:val="00705839"/>
    <w:rsid w:val="007075AE"/>
    <w:rsid w:val="007157BD"/>
    <w:rsid w:val="00720392"/>
    <w:rsid w:val="00726228"/>
    <w:rsid w:val="00740BA8"/>
    <w:rsid w:val="00752430"/>
    <w:rsid w:val="00755D5D"/>
    <w:rsid w:val="007646C0"/>
    <w:rsid w:val="00766EC2"/>
    <w:rsid w:val="00770E5C"/>
    <w:rsid w:val="00772A74"/>
    <w:rsid w:val="00772D3A"/>
    <w:rsid w:val="00773713"/>
    <w:rsid w:val="00774350"/>
    <w:rsid w:val="00777531"/>
    <w:rsid w:val="0077759B"/>
    <w:rsid w:val="00782964"/>
    <w:rsid w:val="00782F73"/>
    <w:rsid w:val="007926BB"/>
    <w:rsid w:val="007951DB"/>
    <w:rsid w:val="00797378"/>
    <w:rsid w:val="007A337B"/>
    <w:rsid w:val="007A338A"/>
    <w:rsid w:val="007A45B7"/>
    <w:rsid w:val="007A617E"/>
    <w:rsid w:val="007B1F02"/>
    <w:rsid w:val="007B458E"/>
    <w:rsid w:val="007B5934"/>
    <w:rsid w:val="007B6B0E"/>
    <w:rsid w:val="007C431C"/>
    <w:rsid w:val="007C536F"/>
    <w:rsid w:val="007C6A0A"/>
    <w:rsid w:val="007D6A3C"/>
    <w:rsid w:val="007E689A"/>
    <w:rsid w:val="007F1108"/>
    <w:rsid w:val="007F2111"/>
    <w:rsid w:val="007F2567"/>
    <w:rsid w:val="007F5C17"/>
    <w:rsid w:val="00803519"/>
    <w:rsid w:val="0080357D"/>
    <w:rsid w:val="008216B7"/>
    <w:rsid w:val="0083067B"/>
    <w:rsid w:val="008308E5"/>
    <w:rsid w:val="008366A0"/>
    <w:rsid w:val="008411AD"/>
    <w:rsid w:val="00844D6C"/>
    <w:rsid w:val="00860A19"/>
    <w:rsid w:val="008812CD"/>
    <w:rsid w:val="00883AC6"/>
    <w:rsid w:val="008A0500"/>
    <w:rsid w:val="008B3EA7"/>
    <w:rsid w:val="008D22AC"/>
    <w:rsid w:val="008D7006"/>
    <w:rsid w:val="008E6F98"/>
    <w:rsid w:val="00902063"/>
    <w:rsid w:val="00906A05"/>
    <w:rsid w:val="00911DE6"/>
    <w:rsid w:val="009146BD"/>
    <w:rsid w:val="00914A5D"/>
    <w:rsid w:val="00927595"/>
    <w:rsid w:val="009315B1"/>
    <w:rsid w:val="00936C19"/>
    <w:rsid w:val="009371EF"/>
    <w:rsid w:val="0094661B"/>
    <w:rsid w:val="00950CED"/>
    <w:rsid w:val="00955975"/>
    <w:rsid w:val="009678C6"/>
    <w:rsid w:val="00971712"/>
    <w:rsid w:val="00972068"/>
    <w:rsid w:val="00986A32"/>
    <w:rsid w:val="00987275"/>
    <w:rsid w:val="009A7266"/>
    <w:rsid w:val="009B05A3"/>
    <w:rsid w:val="009B55C0"/>
    <w:rsid w:val="009C22F0"/>
    <w:rsid w:val="009D1EAE"/>
    <w:rsid w:val="009D53DE"/>
    <w:rsid w:val="009D56BD"/>
    <w:rsid w:val="009D5768"/>
    <w:rsid w:val="009D631C"/>
    <w:rsid w:val="009E224C"/>
    <w:rsid w:val="009E70E4"/>
    <w:rsid w:val="009F1044"/>
    <w:rsid w:val="00A021E7"/>
    <w:rsid w:val="00A106C3"/>
    <w:rsid w:val="00A10DDC"/>
    <w:rsid w:val="00A17001"/>
    <w:rsid w:val="00A26FAE"/>
    <w:rsid w:val="00A308EB"/>
    <w:rsid w:val="00A33555"/>
    <w:rsid w:val="00A35039"/>
    <w:rsid w:val="00A419AF"/>
    <w:rsid w:val="00A5104B"/>
    <w:rsid w:val="00A51FEE"/>
    <w:rsid w:val="00A61175"/>
    <w:rsid w:val="00A63248"/>
    <w:rsid w:val="00A659C1"/>
    <w:rsid w:val="00A668DC"/>
    <w:rsid w:val="00A67047"/>
    <w:rsid w:val="00A71569"/>
    <w:rsid w:val="00A82091"/>
    <w:rsid w:val="00A86F1F"/>
    <w:rsid w:val="00A9317B"/>
    <w:rsid w:val="00A94790"/>
    <w:rsid w:val="00A9623B"/>
    <w:rsid w:val="00AA46C3"/>
    <w:rsid w:val="00AA473D"/>
    <w:rsid w:val="00AA60D6"/>
    <w:rsid w:val="00AD1299"/>
    <w:rsid w:val="00AD1A53"/>
    <w:rsid w:val="00AD77A3"/>
    <w:rsid w:val="00AD7EA7"/>
    <w:rsid w:val="00AE3786"/>
    <w:rsid w:val="00AE3EFB"/>
    <w:rsid w:val="00AE50AA"/>
    <w:rsid w:val="00AF225E"/>
    <w:rsid w:val="00AF32D8"/>
    <w:rsid w:val="00B064FB"/>
    <w:rsid w:val="00B07A8F"/>
    <w:rsid w:val="00B34B07"/>
    <w:rsid w:val="00B34DCB"/>
    <w:rsid w:val="00B37F3D"/>
    <w:rsid w:val="00B47523"/>
    <w:rsid w:val="00B561B9"/>
    <w:rsid w:val="00B7091F"/>
    <w:rsid w:val="00B75A54"/>
    <w:rsid w:val="00B809BD"/>
    <w:rsid w:val="00B82F51"/>
    <w:rsid w:val="00B86A72"/>
    <w:rsid w:val="00BA69B8"/>
    <w:rsid w:val="00BA6AC2"/>
    <w:rsid w:val="00BB48F8"/>
    <w:rsid w:val="00BC1268"/>
    <w:rsid w:val="00BD0089"/>
    <w:rsid w:val="00BD3375"/>
    <w:rsid w:val="00BD4B28"/>
    <w:rsid w:val="00BE4A08"/>
    <w:rsid w:val="00BE6968"/>
    <w:rsid w:val="00BF1DB8"/>
    <w:rsid w:val="00C10DEA"/>
    <w:rsid w:val="00C11BB8"/>
    <w:rsid w:val="00C144DA"/>
    <w:rsid w:val="00C17044"/>
    <w:rsid w:val="00C2452D"/>
    <w:rsid w:val="00C264AD"/>
    <w:rsid w:val="00C31A12"/>
    <w:rsid w:val="00C33C6D"/>
    <w:rsid w:val="00C346F3"/>
    <w:rsid w:val="00C34A24"/>
    <w:rsid w:val="00C35B38"/>
    <w:rsid w:val="00C43231"/>
    <w:rsid w:val="00C4571B"/>
    <w:rsid w:val="00C50FFF"/>
    <w:rsid w:val="00C63635"/>
    <w:rsid w:val="00C70AD8"/>
    <w:rsid w:val="00C71A7B"/>
    <w:rsid w:val="00C7450F"/>
    <w:rsid w:val="00C75EC8"/>
    <w:rsid w:val="00C7719F"/>
    <w:rsid w:val="00C7721D"/>
    <w:rsid w:val="00C775D7"/>
    <w:rsid w:val="00C80831"/>
    <w:rsid w:val="00C97D37"/>
    <w:rsid w:val="00CA4B9A"/>
    <w:rsid w:val="00CA4C8A"/>
    <w:rsid w:val="00CA58FD"/>
    <w:rsid w:val="00CA771C"/>
    <w:rsid w:val="00CA7E4B"/>
    <w:rsid w:val="00CC5C1F"/>
    <w:rsid w:val="00CD252E"/>
    <w:rsid w:val="00CD331E"/>
    <w:rsid w:val="00CE1F84"/>
    <w:rsid w:val="00CF2F90"/>
    <w:rsid w:val="00CF56AA"/>
    <w:rsid w:val="00D05966"/>
    <w:rsid w:val="00D06F33"/>
    <w:rsid w:val="00D121DD"/>
    <w:rsid w:val="00D153AA"/>
    <w:rsid w:val="00D23F52"/>
    <w:rsid w:val="00D320A3"/>
    <w:rsid w:val="00D418A7"/>
    <w:rsid w:val="00D464E1"/>
    <w:rsid w:val="00D46A29"/>
    <w:rsid w:val="00D608E5"/>
    <w:rsid w:val="00D61830"/>
    <w:rsid w:val="00D640B2"/>
    <w:rsid w:val="00D64D9C"/>
    <w:rsid w:val="00D64F07"/>
    <w:rsid w:val="00D65A5B"/>
    <w:rsid w:val="00D65DCE"/>
    <w:rsid w:val="00D74AD1"/>
    <w:rsid w:val="00D80E90"/>
    <w:rsid w:val="00D83230"/>
    <w:rsid w:val="00D85A6F"/>
    <w:rsid w:val="00D86857"/>
    <w:rsid w:val="00D913F8"/>
    <w:rsid w:val="00D921B6"/>
    <w:rsid w:val="00D96A49"/>
    <w:rsid w:val="00D9746B"/>
    <w:rsid w:val="00DA55E1"/>
    <w:rsid w:val="00DA7710"/>
    <w:rsid w:val="00DB243C"/>
    <w:rsid w:val="00DC375C"/>
    <w:rsid w:val="00DC3CD8"/>
    <w:rsid w:val="00DD14D8"/>
    <w:rsid w:val="00DE7F18"/>
    <w:rsid w:val="00DF6292"/>
    <w:rsid w:val="00DF6CD3"/>
    <w:rsid w:val="00E0389E"/>
    <w:rsid w:val="00E066F4"/>
    <w:rsid w:val="00E06779"/>
    <w:rsid w:val="00E0775A"/>
    <w:rsid w:val="00E11E08"/>
    <w:rsid w:val="00E12A2E"/>
    <w:rsid w:val="00E13E72"/>
    <w:rsid w:val="00E141A4"/>
    <w:rsid w:val="00E16753"/>
    <w:rsid w:val="00E16A17"/>
    <w:rsid w:val="00E35898"/>
    <w:rsid w:val="00E41F7F"/>
    <w:rsid w:val="00E4431E"/>
    <w:rsid w:val="00E456CA"/>
    <w:rsid w:val="00E47DD5"/>
    <w:rsid w:val="00E569B7"/>
    <w:rsid w:val="00E673D4"/>
    <w:rsid w:val="00E70423"/>
    <w:rsid w:val="00E74EA4"/>
    <w:rsid w:val="00E7750E"/>
    <w:rsid w:val="00E80A51"/>
    <w:rsid w:val="00E8307C"/>
    <w:rsid w:val="00E8557D"/>
    <w:rsid w:val="00E9150B"/>
    <w:rsid w:val="00E92A94"/>
    <w:rsid w:val="00E940F2"/>
    <w:rsid w:val="00EA68C8"/>
    <w:rsid w:val="00EA6C9E"/>
    <w:rsid w:val="00EA7114"/>
    <w:rsid w:val="00EA7341"/>
    <w:rsid w:val="00EB38FE"/>
    <w:rsid w:val="00EB7FC3"/>
    <w:rsid w:val="00EC0070"/>
    <w:rsid w:val="00EC4BD3"/>
    <w:rsid w:val="00EE01DF"/>
    <w:rsid w:val="00EE4E78"/>
    <w:rsid w:val="00EE6F1A"/>
    <w:rsid w:val="00EF09EB"/>
    <w:rsid w:val="00EF3244"/>
    <w:rsid w:val="00EF3FDE"/>
    <w:rsid w:val="00F13D96"/>
    <w:rsid w:val="00F1508A"/>
    <w:rsid w:val="00F25177"/>
    <w:rsid w:val="00F2549C"/>
    <w:rsid w:val="00F44D3B"/>
    <w:rsid w:val="00F51A58"/>
    <w:rsid w:val="00F51A6D"/>
    <w:rsid w:val="00F52ED7"/>
    <w:rsid w:val="00F55AAE"/>
    <w:rsid w:val="00F5677F"/>
    <w:rsid w:val="00F71815"/>
    <w:rsid w:val="00F7242F"/>
    <w:rsid w:val="00F72FFA"/>
    <w:rsid w:val="00F8034B"/>
    <w:rsid w:val="00F924CE"/>
    <w:rsid w:val="00F92BF6"/>
    <w:rsid w:val="00F94399"/>
    <w:rsid w:val="00FA0B6B"/>
    <w:rsid w:val="00FA2A47"/>
    <w:rsid w:val="00FA781B"/>
    <w:rsid w:val="00FB1A1A"/>
    <w:rsid w:val="00FC2751"/>
    <w:rsid w:val="00FC3292"/>
    <w:rsid w:val="00FD01F4"/>
    <w:rsid w:val="00FD6C43"/>
    <w:rsid w:val="00FE21A1"/>
    <w:rsid w:val="00FE3890"/>
    <w:rsid w:val="00FF35FF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F749"/>
  <w15:chartTrackingRefBased/>
  <w15:docId w15:val="{337B31EE-5C10-4234-8720-946C16C0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541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51541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02E1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3B31D6"/>
    <w:rPr>
      <w:rFonts w:ascii="Calibri" w:eastAsia="Calibri" w:hAnsi="Calibri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31D6"/>
    <w:rPr>
      <w:rFonts w:ascii="Calibri" w:eastAsia="Calibri" w:hAnsi="Calibri" w:cs="Times New Roman"/>
      <w:sz w:val="20"/>
      <w:szCs w:val="20"/>
    </w:rPr>
  </w:style>
  <w:style w:type="table" w:styleId="Reetkatablice">
    <w:name w:val="Table Grid"/>
    <w:basedOn w:val="Obinatablica"/>
    <w:uiPriority w:val="39"/>
    <w:rsid w:val="00EA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ljudevit-gaj-kr.skole.hr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4/relationships/chartEx" Target="charts/chartEx1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USPOREDNI PRIKAZ PLANIRANIH I OSTVARENIH PRIHODA POSLOVANJA</a:t>
            </a:r>
          </a:p>
          <a:p>
            <a:pPr>
              <a:defRPr/>
            </a:pP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Pomoći</c:v>
                </c:pt>
                <c:pt idx="1">
                  <c:v>Prihodi od financ. imovine</c:v>
                </c:pt>
                <c:pt idx="2">
                  <c:v>Prihodi po posebnim propisima</c:v>
                </c:pt>
                <c:pt idx="3">
                  <c:v>Vlastiti prihodi</c:v>
                </c:pt>
                <c:pt idx="4">
                  <c:v>Donacije</c:v>
                </c:pt>
                <c:pt idx="5">
                  <c:v>Prihodi iz nadležnog proračuna</c:v>
                </c:pt>
                <c:pt idx="6">
                  <c:v>Prihodi od prodaje nef.imovine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2372000</c:v>
                </c:pt>
                <c:pt idx="1">
                  <c:v>20</c:v>
                </c:pt>
                <c:pt idx="2">
                  <c:v>30100</c:v>
                </c:pt>
                <c:pt idx="3">
                  <c:v>9000</c:v>
                </c:pt>
                <c:pt idx="4">
                  <c:v>500</c:v>
                </c:pt>
                <c:pt idx="5">
                  <c:v>295576</c:v>
                </c:pt>
                <c:pt idx="6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C-45F8-9648-6CE5A96CD14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Pomoći</c:v>
                </c:pt>
                <c:pt idx="1">
                  <c:v>Prihodi od financ. imovine</c:v>
                </c:pt>
                <c:pt idx="2">
                  <c:v>Prihodi po posebnim propisima</c:v>
                </c:pt>
                <c:pt idx="3">
                  <c:v>Vlastiti prihodi</c:v>
                </c:pt>
                <c:pt idx="4">
                  <c:v>Donacije</c:v>
                </c:pt>
                <c:pt idx="5">
                  <c:v>Prihodi iz nadležnog proračuna</c:v>
                </c:pt>
                <c:pt idx="6">
                  <c:v>Prihodi od prodaje nef.imovine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1064484</c:v>
                </c:pt>
                <c:pt idx="1">
                  <c:v>3</c:v>
                </c:pt>
                <c:pt idx="2">
                  <c:v>18042</c:v>
                </c:pt>
                <c:pt idx="3">
                  <c:v>3057</c:v>
                </c:pt>
                <c:pt idx="4">
                  <c:v>419</c:v>
                </c:pt>
                <c:pt idx="5">
                  <c:v>127779</c:v>
                </c:pt>
                <c:pt idx="6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CC-45F8-9648-6CE5A96CD1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73961471"/>
        <c:axId val="78639384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List1!$D$1</c15:sqref>
                        </c15:formulaRef>
                      </c:ext>
                    </c:extLst>
                    <c:strCache>
                      <c:ptCount val="1"/>
                      <c:pt idx="0">
                        <c:v>Stupac1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List1!$A$2:$A$8</c15:sqref>
                        </c15:formulaRef>
                      </c:ext>
                    </c:extLst>
                    <c:strCache>
                      <c:ptCount val="7"/>
                      <c:pt idx="0">
                        <c:v>Pomoći</c:v>
                      </c:pt>
                      <c:pt idx="1">
                        <c:v>Prihodi od financ. imovine</c:v>
                      </c:pt>
                      <c:pt idx="2">
                        <c:v>Prihodi po posebnim propisima</c:v>
                      </c:pt>
                      <c:pt idx="3">
                        <c:v>Vlastiti prihodi</c:v>
                      </c:pt>
                      <c:pt idx="4">
                        <c:v>Donacije</c:v>
                      </c:pt>
                      <c:pt idx="5">
                        <c:v>Prihodi iz nadležnog proračuna</c:v>
                      </c:pt>
                      <c:pt idx="6">
                        <c:v>Prihodi od prodaje nef.imovine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List1!$D$2:$D$8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12CC-45F8-9648-6CE5A96CD14F}"/>
                  </c:ext>
                </c:extLst>
              </c15:ser>
            </c15:filteredBarSeries>
          </c:ext>
        </c:extLst>
      </c:barChart>
      <c:catAx>
        <c:axId val="1173961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6393840"/>
        <c:crosses val="autoZero"/>
        <c:auto val="1"/>
        <c:lblAlgn val="ctr"/>
        <c:lblOffset val="100"/>
        <c:noMultiLvlLbl val="0"/>
      </c:catAx>
      <c:valAx>
        <c:axId val="7863938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7396147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9E9-4088-A462-83BCDF793B0D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9E9-4088-A462-83BCDF793B0D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9E9-4088-A462-83BCDF793B0D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9E9-4088-A462-83BCDF793B0D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9E9-4088-A462-83BCDF793B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Pomoći PK iz proračuna koji nam nije nadležan</c:v>
                </c:pt>
                <c:pt idx="1">
                  <c:v>Prihodi iz nadležnog proračuna</c:v>
                </c:pt>
                <c:pt idx="2">
                  <c:v>Prihodi po posebnim propisima</c:v>
                </c:pt>
                <c:pt idx="3">
                  <c:v>Vlastiti prihodi</c:v>
                </c:pt>
                <c:pt idx="4">
                  <c:v>Donacije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87.7</c:v>
                </c:pt>
                <c:pt idx="1">
                  <c:v>10.53</c:v>
                </c:pt>
                <c:pt idx="2">
                  <c:v>1.49</c:v>
                </c:pt>
                <c:pt idx="3">
                  <c:v>0.25</c:v>
                </c:pt>
                <c:pt idx="4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C2-43CA-9621-2A57201AC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2025.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 i kućanstvima u naravi</c:v>
                </c:pt>
                <c:pt idx="4">
                  <c:v>Ostali rashodi</c:v>
                </c:pt>
                <c:pt idx="5">
                  <c:v>Rashodi za nabavu proizvedene dugotrajne imovine</c:v>
                </c:pt>
                <c:pt idx="6">
                  <c:v>Rashodi za dodatna ulaganja na građevinskim objektima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2152830</c:v>
                </c:pt>
                <c:pt idx="1">
                  <c:v>380248</c:v>
                </c:pt>
                <c:pt idx="2">
                  <c:v>820</c:v>
                </c:pt>
                <c:pt idx="3">
                  <c:v>69000</c:v>
                </c:pt>
                <c:pt idx="4">
                  <c:v>1300</c:v>
                </c:pt>
                <c:pt idx="5">
                  <c:v>25100</c:v>
                </c:pt>
                <c:pt idx="6">
                  <c:v>80000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1-4CF4-9E6A-360CA369D8D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 01.01.-30.06.2025.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 i kućanstvima u naravi</c:v>
                </c:pt>
                <c:pt idx="4">
                  <c:v>Ostali rashodi</c:v>
                </c:pt>
                <c:pt idx="5">
                  <c:v>Rashodi za nabavu proizvedene dugotrajne imovine</c:v>
                </c:pt>
                <c:pt idx="6">
                  <c:v>Rashodi za dodatna ulaganja na građevinskim objektima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1138988</c:v>
                </c:pt>
                <c:pt idx="1">
                  <c:v>198381</c:v>
                </c:pt>
                <c:pt idx="2">
                  <c:v>493</c:v>
                </c:pt>
                <c:pt idx="3">
                  <c:v>51</c:v>
                </c:pt>
                <c:pt idx="4">
                  <c:v>0</c:v>
                </c:pt>
                <c:pt idx="5">
                  <c:v>17464</c:v>
                </c:pt>
                <c:pt idx="6">
                  <c:v>81746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A1-4CF4-9E6A-360CA369D8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83257648"/>
        <c:axId val="783261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List1!$D$1</c15:sqref>
                        </c15:formulaRef>
                      </c:ext>
                    </c:extLst>
                    <c:strCache>
                      <c:ptCount val="1"/>
                      <c:pt idx="0">
                        <c:v>Stupac1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List1!$A$2:$A$8</c15:sqref>
                        </c15:formulaRef>
                      </c:ext>
                    </c:extLst>
                    <c:strCache>
                      <c:ptCount val="7"/>
                      <c:pt idx="0">
                        <c:v>Rashodi za zaposlene</c:v>
                      </c:pt>
                      <c:pt idx="1">
                        <c:v>Materijalni rashodi</c:v>
                      </c:pt>
                      <c:pt idx="2">
                        <c:v>Financijski rashodi</c:v>
                      </c:pt>
                      <c:pt idx="3">
                        <c:v>Naknade građanima i kućanstvima u naravi</c:v>
                      </c:pt>
                      <c:pt idx="4">
                        <c:v>Ostali rashodi</c:v>
                      </c:pt>
                      <c:pt idx="5">
                        <c:v>Rashodi za nabavu proizvedene dugotrajne imovine</c:v>
                      </c:pt>
                      <c:pt idx="6">
                        <c:v>Rashodi za dodatna ulaganja na građevinskim objektima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List1!$D$2:$D$8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4AA1-4CF4-9E6A-360CA369D8DC}"/>
                  </c:ext>
                </c:extLst>
              </c15:ser>
            </c15:filteredBarSeries>
          </c:ext>
        </c:extLst>
      </c:barChart>
      <c:catAx>
        <c:axId val="783257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3261968"/>
        <c:crosses val="autoZero"/>
        <c:auto val="1"/>
        <c:lblAlgn val="ctr"/>
        <c:lblOffset val="100"/>
        <c:noMultiLvlLbl val="0"/>
      </c:catAx>
      <c:valAx>
        <c:axId val="783261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3257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List1!$A$2:$A$8</cx:f>
        <cx:lvl ptCount="7">
          <cx:pt idx="0">Rashodi za zaposlene</cx:pt>
          <cx:pt idx="1">Materijalni rashodi</cx:pt>
          <cx:pt idx="2">Financijski rashodi</cx:pt>
          <cx:pt idx="3">Naknade građanima i kućanstvima u naravi</cx:pt>
          <cx:pt idx="4">Ostali rashodi</cx:pt>
          <cx:pt idx="5">Rashodi za nabavu proizvedene dugotrajne imovine</cx:pt>
          <cx:pt idx="6">Rashodi za dodatna ulaganja na građevinskim objektima</cx:pt>
        </cx:lvl>
      </cx:strDim>
      <cx:numDim type="size">
        <cx:f>List1!$B$2:$B$8</cx:f>
        <cx:lvl ptCount="7" formatCode="General">
          <cx:pt idx="0">79.260000000000005</cx:pt>
          <cx:pt idx="1">13.800000000000001</cx:pt>
          <cx:pt idx="2">0.029999999999999999</cx:pt>
          <cx:pt idx="3">0</cx:pt>
          <cx:pt idx="4">0</cx:pt>
          <cx:pt idx="5">1.22</cx:pt>
          <cx:pt idx="6">5.6900000000000004</cx:pt>
        </cx:lvl>
      </cx:numDim>
    </cx:data>
  </cx:chartData>
  <cx:chart>
    <cx:plotArea>
      <cx:plotAreaRegion>
        <cx:series layoutId="sunburst" uniqueId="{99A0FEFB-AB5C-4276-B969-DB2164660B87}">
          <cx:tx>
            <cx:txData>
              <cx:f>List1!$B$1</cx:f>
              <cx:v>Stupac1</cx:v>
            </cx:txData>
          </cx:tx>
          <cx:dataLabels>
            <cx:visibility seriesName="0" categoryName="1" value="0"/>
          </cx:dataLabels>
          <cx:dataId val="0"/>
        </cx:series>
      </cx:plotAreaRegion>
    </cx:plotArea>
    <cx:legend pos="r" align="ctr" overlay="0"/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7D31-9A15-4B9F-85F5-CC26B87B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9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Biserka Konig</cp:lastModifiedBy>
  <cp:revision>405</cp:revision>
  <cp:lastPrinted>2025-07-21T09:58:00Z</cp:lastPrinted>
  <dcterms:created xsi:type="dcterms:W3CDTF">2023-07-20T09:06:00Z</dcterms:created>
  <dcterms:modified xsi:type="dcterms:W3CDTF">2025-07-21T13:03:00Z</dcterms:modified>
</cp:coreProperties>
</file>