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64338" w14:textId="5AEB93DE" w:rsidR="00874AB5" w:rsidRDefault="00874AB5" w:rsidP="00874AB5">
      <w:pPr>
        <w:pStyle w:val="Bezproreda"/>
      </w:pPr>
      <w:bookmarkStart w:id="0" w:name="_GoBack"/>
      <w:bookmarkEnd w:id="0"/>
      <w:r>
        <w:t>Naziv obveznika: O</w:t>
      </w:r>
      <w:r w:rsidR="00EF5479">
        <w:t xml:space="preserve">SNOVNA ŠKOLA </w:t>
      </w:r>
      <w:r>
        <w:t>LJUDEVIT</w:t>
      </w:r>
      <w:r w:rsidR="00F0084C">
        <w:t xml:space="preserve"> </w:t>
      </w:r>
      <w:r>
        <w:t>GAJ</w:t>
      </w:r>
      <w:r w:rsidR="00EF5479">
        <w:t xml:space="preserve"> U</w:t>
      </w:r>
      <w:r>
        <w:t xml:space="preserve"> KRAPIN</w:t>
      </w:r>
      <w:r w:rsidR="00EF5479">
        <w:t>I</w:t>
      </w:r>
      <w:r w:rsidR="00F0084C">
        <w:t xml:space="preserve">               </w:t>
      </w:r>
      <w:r w:rsidR="00EF5479">
        <w:t xml:space="preserve">     </w:t>
      </w:r>
      <w:r w:rsidR="00F0084C">
        <w:t xml:space="preserve"> </w:t>
      </w:r>
      <w:r>
        <w:t>Broj RKP-a: 15866</w:t>
      </w:r>
    </w:p>
    <w:p w14:paraId="7B4D8D63" w14:textId="77777777" w:rsidR="00874AB5" w:rsidRDefault="00874AB5" w:rsidP="00874AB5">
      <w:pPr>
        <w:pStyle w:val="Bezproreda"/>
      </w:pPr>
      <w:r>
        <w:t xml:space="preserve">Sjedište obveznika: </w:t>
      </w:r>
      <w:r w:rsidR="000D1580">
        <w:t xml:space="preserve">49000 </w:t>
      </w:r>
      <w:r>
        <w:t>KRAPINA</w:t>
      </w:r>
      <w:r>
        <w:tab/>
      </w:r>
      <w:r>
        <w:tab/>
      </w:r>
      <w:r>
        <w:tab/>
      </w:r>
      <w:r>
        <w:tab/>
      </w:r>
      <w:r>
        <w:tab/>
        <w:t>Matični broj: 03079589</w:t>
      </w:r>
    </w:p>
    <w:p w14:paraId="69360B32" w14:textId="77777777" w:rsidR="00874AB5" w:rsidRDefault="00874AB5" w:rsidP="00874AB5">
      <w:pPr>
        <w:pStyle w:val="Bezproreda"/>
      </w:pPr>
      <w:r>
        <w:t>Adresa sjedišta obveznika: TRG STJEPANA RADIĆA 1, KRAPINA</w:t>
      </w:r>
      <w:r>
        <w:tab/>
      </w:r>
      <w:r>
        <w:tab/>
        <w:t>OIB: 68206344969</w:t>
      </w:r>
    </w:p>
    <w:p w14:paraId="59585D4C" w14:textId="77777777" w:rsidR="00874AB5" w:rsidRDefault="00874AB5" w:rsidP="00874AB5">
      <w:pPr>
        <w:pStyle w:val="Bezproreda"/>
      </w:pPr>
      <w:r>
        <w:t>Razina: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8520</w:t>
      </w:r>
    </w:p>
    <w:p w14:paraId="052730E3" w14:textId="4B54366B" w:rsidR="00CC274F" w:rsidRDefault="00874AB5" w:rsidP="00CC274F">
      <w:pPr>
        <w:pStyle w:val="Bezproreda"/>
      </w:pPr>
      <w:r>
        <w:t>Razdjel: 000</w:t>
      </w:r>
      <w:r w:rsidR="00CC274F">
        <w:tab/>
      </w:r>
      <w:r w:rsidR="00CC274F">
        <w:tab/>
      </w:r>
      <w:r w:rsidR="00CC274F">
        <w:tab/>
      </w:r>
      <w:r w:rsidR="00CC274F">
        <w:tab/>
      </w:r>
      <w:r w:rsidR="00CC274F">
        <w:tab/>
      </w:r>
      <w:r w:rsidR="00CC274F">
        <w:tab/>
      </w:r>
      <w:r w:rsidR="00CC274F">
        <w:tab/>
      </w:r>
      <w:r w:rsidR="00CC274F">
        <w:tab/>
        <w:t>Šifra grada:</w:t>
      </w:r>
      <w:r w:rsidR="00444387">
        <w:t xml:space="preserve"> </w:t>
      </w:r>
      <w:r w:rsidR="00CC274F">
        <w:t>211 Krapina</w:t>
      </w:r>
    </w:p>
    <w:p w14:paraId="2E00082C" w14:textId="45F88C23" w:rsidR="00874AB5" w:rsidRDefault="00CC274F" w:rsidP="00CC274F">
      <w:pPr>
        <w:pStyle w:val="Bezproreda"/>
      </w:pPr>
      <w:r>
        <w:t>Šifra županije: 002-Krapinsko zagorska</w:t>
      </w:r>
      <w:r>
        <w:tab/>
      </w:r>
    </w:p>
    <w:p w14:paraId="2670AE6E" w14:textId="77777777" w:rsidR="00CC274F" w:rsidRDefault="00CC274F" w:rsidP="00CC274F">
      <w:pPr>
        <w:pStyle w:val="Bezproreda"/>
      </w:pPr>
    </w:p>
    <w:p w14:paraId="52465879" w14:textId="77777777" w:rsidR="000D1580" w:rsidRDefault="00E529CF" w:rsidP="00CC274F">
      <w:pPr>
        <w:pStyle w:val="Bezproreda"/>
        <w:jc w:val="center"/>
      </w:pPr>
      <w:r>
        <w:t>BILJEŠKE UZ FINANCIJSKE IZVJEŠTAJE</w:t>
      </w:r>
    </w:p>
    <w:p w14:paraId="6FBD07A6" w14:textId="64E9E0C9" w:rsidR="00CC4E1F" w:rsidRDefault="00E529CF" w:rsidP="000D1580">
      <w:pPr>
        <w:jc w:val="center"/>
      </w:pPr>
      <w:r>
        <w:t>ZA RAZDOBLJE OD 01.SIJEČNJA DO 31. PROSINCA 20</w:t>
      </w:r>
      <w:r w:rsidR="00C138F5">
        <w:t>2</w:t>
      </w:r>
      <w:r w:rsidR="00EF5479">
        <w:t>4</w:t>
      </w:r>
      <w:r>
        <w:t>. GODINE</w:t>
      </w:r>
    </w:p>
    <w:p w14:paraId="2D9A1A79" w14:textId="77777777" w:rsidR="00EF5479" w:rsidRDefault="00E529CF" w:rsidP="00EF5479">
      <w:r w:rsidRPr="00602935">
        <w:t>Osnovna škola Ljudevit Gaj</w:t>
      </w:r>
      <w:r w:rsidR="00EF5479">
        <w:t xml:space="preserve"> u</w:t>
      </w:r>
      <w:r w:rsidRPr="00602935">
        <w:t xml:space="preserve"> Krapin</w:t>
      </w:r>
      <w:r w:rsidR="00EF5479">
        <w:t>i</w:t>
      </w:r>
      <w:r w:rsidRPr="00602935">
        <w:t xml:space="preserve"> posluje u skladu sa Zakonom o odgoju i obrazovanju u osnovnoj i srednjoj školi </w:t>
      </w:r>
      <w:r w:rsidR="0096714E">
        <w:t>(</w:t>
      </w:r>
      <w:r w:rsidR="0096714E" w:rsidRPr="0096714E">
        <w:rPr>
          <w:sz w:val="20"/>
          <w:szCs w:val="20"/>
        </w:rPr>
        <w:t>NN 87/08,86/09,92/10,105/10,90/11,5/12,16/12,86/12,126/12,94/13,152/14,07/17,68/1</w:t>
      </w:r>
      <w:r w:rsidR="0096714E">
        <w:rPr>
          <w:sz w:val="20"/>
          <w:szCs w:val="20"/>
        </w:rPr>
        <w:t>8</w:t>
      </w:r>
      <w:r w:rsidR="0096714E" w:rsidRPr="0096714E">
        <w:rPr>
          <w:sz w:val="20"/>
          <w:szCs w:val="20"/>
        </w:rPr>
        <w:t>, 98/19,64/20,151/22</w:t>
      </w:r>
      <w:r w:rsidR="00CE21A6">
        <w:rPr>
          <w:sz w:val="20"/>
          <w:szCs w:val="20"/>
        </w:rPr>
        <w:t>,156/23</w:t>
      </w:r>
      <w:r w:rsidR="0096714E">
        <w:t xml:space="preserve">) </w:t>
      </w:r>
      <w:r w:rsidRPr="00602935">
        <w:t>te Statutom škole. Vodi proračunsko računovodstvo temeljem Pravilnika o proračunskom raču</w:t>
      </w:r>
      <w:r w:rsidR="0028316F" w:rsidRPr="00602935">
        <w:t>novodstvu i Računskom planu</w:t>
      </w:r>
      <w:r w:rsidR="000A1264" w:rsidRPr="00602935">
        <w:t xml:space="preserve"> </w:t>
      </w:r>
      <w:r w:rsidR="000A1264" w:rsidRPr="00602935">
        <w:rPr>
          <w:sz w:val="20"/>
          <w:szCs w:val="20"/>
        </w:rPr>
        <w:t>(NN 124/14,115/15,87/16,3/18,126/19,108/20)</w:t>
      </w:r>
      <w:r w:rsidR="0028316F" w:rsidRPr="00602935">
        <w:t>, a F</w:t>
      </w:r>
      <w:r w:rsidRPr="00602935">
        <w:t xml:space="preserve">inancijske izvještaje </w:t>
      </w:r>
      <w:r w:rsidR="001841F1" w:rsidRPr="00602935">
        <w:t xml:space="preserve">i Bilješke uz financijske izvještaje </w:t>
      </w:r>
      <w:r w:rsidRPr="00602935">
        <w:t xml:space="preserve">sastavlja i predaje u skladu s </w:t>
      </w:r>
      <w:r w:rsidR="00624E36" w:rsidRPr="00602935">
        <w:t>čl.1</w:t>
      </w:r>
      <w:r w:rsidR="000A1264" w:rsidRPr="00602935">
        <w:t>39</w:t>
      </w:r>
      <w:r w:rsidR="00624E36" w:rsidRPr="00602935">
        <w:t xml:space="preserve"> Zakona o proračunu </w:t>
      </w:r>
      <w:r w:rsidR="00624E36" w:rsidRPr="00602935">
        <w:rPr>
          <w:sz w:val="20"/>
          <w:szCs w:val="20"/>
        </w:rPr>
        <w:t xml:space="preserve">(NN </w:t>
      </w:r>
      <w:r w:rsidR="003C4C5F" w:rsidRPr="00602935">
        <w:rPr>
          <w:sz w:val="20"/>
          <w:szCs w:val="20"/>
        </w:rPr>
        <w:t>144/21</w:t>
      </w:r>
      <w:r w:rsidR="00624E36" w:rsidRPr="00602935">
        <w:rPr>
          <w:sz w:val="20"/>
          <w:szCs w:val="20"/>
        </w:rPr>
        <w:t>)</w:t>
      </w:r>
      <w:r w:rsidR="00624E36" w:rsidRPr="00602935">
        <w:t xml:space="preserve">, te </w:t>
      </w:r>
      <w:r w:rsidRPr="00602935">
        <w:t>odredbama Pravilnika o financijskom izvješćivanju u proračunskom računovodstvu</w:t>
      </w:r>
      <w:r w:rsidR="001841F1" w:rsidRPr="00602935">
        <w:t xml:space="preserve"> </w:t>
      </w:r>
      <w:r w:rsidR="001841F1" w:rsidRPr="00602935">
        <w:rPr>
          <w:sz w:val="20"/>
          <w:szCs w:val="20"/>
        </w:rPr>
        <w:t>(NN</w:t>
      </w:r>
      <w:r w:rsidR="00624E36" w:rsidRPr="00602935">
        <w:rPr>
          <w:sz w:val="20"/>
          <w:szCs w:val="20"/>
        </w:rPr>
        <w:t xml:space="preserve"> </w:t>
      </w:r>
      <w:r w:rsidR="003C4C5F" w:rsidRPr="00602935">
        <w:rPr>
          <w:sz w:val="20"/>
          <w:szCs w:val="20"/>
        </w:rPr>
        <w:t>37/22)</w:t>
      </w:r>
      <w:r w:rsidR="000A1264" w:rsidRPr="00602935">
        <w:rPr>
          <w:sz w:val="20"/>
          <w:szCs w:val="20"/>
        </w:rPr>
        <w:t>.</w:t>
      </w:r>
      <w:r w:rsidR="000A1264" w:rsidRPr="00602935">
        <w:t xml:space="preserve"> </w:t>
      </w:r>
      <w:r w:rsidR="00624E36" w:rsidRPr="00602935">
        <w:t xml:space="preserve">Odgovorna osoba škole je </w:t>
      </w:r>
      <w:r w:rsidR="00034185" w:rsidRPr="00602935">
        <w:t xml:space="preserve">dr.sc. </w:t>
      </w:r>
      <w:r w:rsidR="00AB2AAE">
        <w:t>Vlatka Družinec</w:t>
      </w:r>
      <w:r w:rsidR="00EF5479">
        <w:t xml:space="preserve"> Tušek.</w:t>
      </w:r>
      <w:r w:rsidR="00AB2AAE">
        <w:t xml:space="preserve"> </w:t>
      </w:r>
    </w:p>
    <w:p w14:paraId="45DE15DE" w14:textId="0958C56A" w:rsidR="00C138F5" w:rsidRDefault="006A58B5" w:rsidP="00EF5479">
      <w:pPr>
        <w:rPr>
          <w:b/>
        </w:rPr>
      </w:pPr>
      <w:r w:rsidRPr="00DF11AC">
        <w:rPr>
          <w:b/>
        </w:rPr>
        <w:t>Bilješke uz Bilancu</w:t>
      </w:r>
    </w:p>
    <w:p w14:paraId="3B9E662C" w14:textId="7D0F0504" w:rsidR="00F84632" w:rsidRDefault="003F02D0" w:rsidP="00306705">
      <w:pPr>
        <w:pStyle w:val="Bezproreda"/>
      </w:pPr>
      <w:r w:rsidRPr="00B568CE">
        <w:rPr>
          <w:u w:val="single"/>
        </w:rPr>
        <w:t xml:space="preserve">Bilješka broj </w:t>
      </w:r>
      <w:r>
        <w:rPr>
          <w:u w:val="single"/>
        </w:rPr>
        <w:t>1</w:t>
      </w:r>
      <w:r>
        <w:t xml:space="preserve"> - Školska ustanova </w:t>
      </w:r>
      <w:r w:rsidR="0036180D">
        <w:t>i</w:t>
      </w:r>
      <w:r>
        <w:t xml:space="preserve">ma iskazane podatke u izvanbilančnoj evidenciji o ugovornim odnosima koji bi uz ispunjenje određenih uvjeta mogli postati imovina pa se obvezni propisani podaci </w:t>
      </w:r>
      <w:r w:rsidR="0036180D">
        <w:t xml:space="preserve">prikazuju </w:t>
      </w:r>
      <w:r>
        <w:t xml:space="preserve">u tablici </w:t>
      </w:r>
      <w:r w:rsidR="0036180D">
        <w:t>br.1</w:t>
      </w:r>
      <w:r>
        <w:t>.</w:t>
      </w:r>
    </w:p>
    <w:p w14:paraId="0E3485C6" w14:textId="77777777" w:rsidR="00306705" w:rsidRDefault="00306705" w:rsidP="00306705">
      <w:pPr>
        <w:pStyle w:val="Bezproreda"/>
      </w:pPr>
    </w:p>
    <w:p w14:paraId="46C27B2E" w14:textId="0A1D8917" w:rsidR="00857CD1" w:rsidRDefault="00857CD1" w:rsidP="00F06302">
      <w:r>
        <w:t>Tablica</w:t>
      </w:r>
      <w:r w:rsidR="005027F9">
        <w:t xml:space="preserve"> 1</w:t>
      </w:r>
      <w:r>
        <w:t>:</w:t>
      </w:r>
      <w:r w:rsidR="00773E80">
        <w:t xml:space="preserve"> Popis ugovornih odnosa</w:t>
      </w:r>
      <w:r>
        <w:t xml:space="preserve"> koji uz ispunjenje određenih uvjeta mogu postati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"/>
        <w:gridCol w:w="1179"/>
        <w:gridCol w:w="1123"/>
        <w:gridCol w:w="1095"/>
        <w:gridCol w:w="1017"/>
        <w:gridCol w:w="1225"/>
        <w:gridCol w:w="1142"/>
        <w:gridCol w:w="889"/>
        <w:gridCol w:w="910"/>
      </w:tblGrid>
      <w:tr w:rsidR="002F280F" w14:paraId="4DF85FA2" w14:textId="77777777" w:rsidTr="00F12EAA">
        <w:tc>
          <w:tcPr>
            <w:tcW w:w="708" w:type="dxa"/>
          </w:tcPr>
          <w:p w14:paraId="2DFC5B58" w14:textId="77777777" w:rsidR="00857CD1" w:rsidRPr="002F280F" w:rsidRDefault="00857CD1" w:rsidP="00857CD1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Red. br.</w:t>
            </w:r>
          </w:p>
        </w:tc>
        <w:tc>
          <w:tcPr>
            <w:tcW w:w="1179" w:type="dxa"/>
          </w:tcPr>
          <w:p w14:paraId="45490B52" w14:textId="72A06C23" w:rsidR="00857CD1" w:rsidRPr="002F280F" w:rsidRDefault="00857CD1" w:rsidP="00F06302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 xml:space="preserve">Datum </w:t>
            </w:r>
          </w:p>
          <w:p w14:paraId="1E442627" w14:textId="77777777" w:rsidR="00857CD1" w:rsidRPr="002F280F" w:rsidRDefault="00857CD1" w:rsidP="00F06302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primanja jamstva</w:t>
            </w:r>
          </w:p>
        </w:tc>
        <w:tc>
          <w:tcPr>
            <w:tcW w:w="1123" w:type="dxa"/>
          </w:tcPr>
          <w:p w14:paraId="37786615" w14:textId="77777777" w:rsidR="00857CD1" w:rsidRPr="002F280F" w:rsidRDefault="00857CD1" w:rsidP="00F06302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Instrument osiguranja</w:t>
            </w:r>
          </w:p>
        </w:tc>
        <w:tc>
          <w:tcPr>
            <w:tcW w:w="1095" w:type="dxa"/>
          </w:tcPr>
          <w:p w14:paraId="20F10B26" w14:textId="3427D73A" w:rsidR="00857CD1" w:rsidRPr="002F280F" w:rsidRDefault="00857CD1" w:rsidP="00F06302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 xml:space="preserve">Iznos </w:t>
            </w:r>
          </w:p>
          <w:p w14:paraId="5A456A46" w14:textId="77777777" w:rsidR="00857CD1" w:rsidRPr="002F280F" w:rsidRDefault="00857CD1" w:rsidP="00F06302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primljenog jamstva</w:t>
            </w:r>
          </w:p>
        </w:tc>
        <w:tc>
          <w:tcPr>
            <w:tcW w:w="1017" w:type="dxa"/>
          </w:tcPr>
          <w:p w14:paraId="340AE57C" w14:textId="5EAE92F1" w:rsidR="00857CD1" w:rsidRPr="002F280F" w:rsidRDefault="002F280F" w:rsidP="00F06302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D</w:t>
            </w:r>
            <w:r w:rsidR="00857CD1" w:rsidRPr="002F280F">
              <w:rPr>
                <w:sz w:val="20"/>
                <w:szCs w:val="20"/>
              </w:rPr>
              <w:t>avatelj jamstva</w:t>
            </w:r>
          </w:p>
        </w:tc>
        <w:tc>
          <w:tcPr>
            <w:tcW w:w="1225" w:type="dxa"/>
          </w:tcPr>
          <w:p w14:paraId="211288A9" w14:textId="77777777" w:rsidR="00857CD1" w:rsidRPr="002F280F" w:rsidRDefault="00857CD1" w:rsidP="00F06302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Namjena</w:t>
            </w:r>
          </w:p>
        </w:tc>
        <w:tc>
          <w:tcPr>
            <w:tcW w:w="1142" w:type="dxa"/>
          </w:tcPr>
          <w:p w14:paraId="5F11813A" w14:textId="77777777" w:rsidR="00857CD1" w:rsidRPr="002F280F" w:rsidRDefault="00857CD1" w:rsidP="00F06302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Dokument</w:t>
            </w:r>
          </w:p>
        </w:tc>
        <w:tc>
          <w:tcPr>
            <w:tcW w:w="889" w:type="dxa"/>
          </w:tcPr>
          <w:p w14:paraId="3D977300" w14:textId="77777777" w:rsidR="00857CD1" w:rsidRPr="002F280F" w:rsidRDefault="00857CD1" w:rsidP="00F06302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Rok važenja</w:t>
            </w:r>
          </w:p>
        </w:tc>
        <w:tc>
          <w:tcPr>
            <w:tcW w:w="910" w:type="dxa"/>
          </w:tcPr>
          <w:p w14:paraId="7623942C" w14:textId="77777777" w:rsidR="00857CD1" w:rsidRPr="002F280F" w:rsidRDefault="00857CD1" w:rsidP="00857CD1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Napom.</w:t>
            </w:r>
          </w:p>
        </w:tc>
      </w:tr>
      <w:tr w:rsidR="002F280F" w14:paraId="4DAD3570" w14:textId="77777777" w:rsidTr="00F12EAA">
        <w:tc>
          <w:tcPr>
            <w:tcW w:w="708" w:type="dxa"/>
          </w:tcPr>
          <w:p w14:paraId="4C79A93C" w14:textId="22C71853" w:rsidR="00857CD1" w:rsidRPr="002F280F" w:rsidRDefault="002F280F" w:rsidP="00857CD1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79" w:type="dxa"/>
          </w:tcPr>
          <w:p w14:paraId="725E4566" w14:textId="387921BF" w:rsidR="00857CD1" w:rsidRPr="002F280F" w:rsidRDefault="002F280F" w:rsidP="00857CD1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06.08.2024.</w:t>
            </w:r>
          </w:p>
        </w:tc>
        <w:tc>
          <w:tcPr>
            <w:tcW w:w="1123" w:type="dxa"/>
          </w:tcPr>
          <w:p w14:paraId="25995BC2" w14:textId="0DC838C1" w:rsidR="00857CD1" w:rsidRPr="002F280F" w:rsidRDefault="002F280F" w:rsidP="00857CD1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Bjanko zadužnica OV-4900/2024</w:t>
            </w:r>
          </w:p>
        </w:tc>
        <w:tc>
          <w:tcPr>
            <w:tcW w:w="1095" w:type="dxa"/>
          </w:tcPr>
          <w:p w14:paraId="0761E524" w14:textId="11AA6AA1" w:rsidR="00857CD1" w:rsidRPr="002F280F" w:rsidRDefault="002F280F" w:rsidP="00857CD1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10.000,00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F280F">
              <w:rPr>
                <w:bCs/>
                <w:sz w:val="20"/>
                <w:szCs w:val="20"/>
              </w:rPr>
              <w:t>€</w:t>
            </w:r>
          </w:p>
        </w:tc>
        <w:tc>
          <w:tcPr>
            <w:tcW w:w="1017" w:type="dxa"/>
          </w:tcPr>
          <w:p w14:paraId="51A04A61" w14:textId="73FA708D" w:rsidR="00857CD1" w:rsidRPr="002F280F" w:rsidRDefault="002F280F" w:rsidP="00857CD1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Botonjić gradnja d.o.o. Sisak</w:t>
            </w:r>
          </w:p>
        </w:tc>
        <w:tc>
          <w:tcPr>
            <w:tcW w:w="1225" w:type="dxa"/>
          </w:tcPr>
          <w:p w14:paraId="0D523CD7" w14:textId="0B0B5F13" w:rsidR="00857CD1" w:rsidRPr="002F280F" w:rsidRDefault="002F280F" w:rsidP="00857CD1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Otklanjanje nedostataka u jamstvenom roku</w:t>
            </w:r>
          </w:p>
        </w:tc>
        <w:tc>
          <w:tcPr>
            <w:tcW w:w="1142" w:type="dxa"/>
          </w:tcPr>
          <w:p w14:paraId="26F4B02A" w14:textId="0008C5A3" w:rsidR="00857CD1" w:rsidRPr="002F280F" w:rsidRDefault="002F280F" w:rsidP="00857CD1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Ugovor 406</w:t>
            </w:r>
            <w:r w:rsidR="00F12EAA">
              <w:rPr>
                <w:bCs/>
                <w:sz w:val="20"/>
                <w:szCs w:val="20"/>
              </w:rPr>
              <w:t>-</w:t>
            </w:r>
            <w:r w:rsidRPr="002F280F">
              <w:rPr>
                <w:bCs/>
                <w:sz w:val="20"/>
                <w:szCs w:val="20"/>
              </w:rPr>
              <w:t>07/24-01/3</w:t>
            </w:r>
          </w:p>
        </w:tc>
        <w:tc>
          <w:tcPr>
            <w:tcW w:w="889" w:type="dxa"/>
          </w:tcPr>
          <w:p w14:paraId="14170D9B" w14:textId="774FC3BB" w:rsidR="00857CD1" w:rsidRPr="002F280F" w:rsidRDefault="002F280F" w:rsidP="00857CD1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60 mjeseci</w:t>
            </w:r>
          </w:p>
        </w:tc>
        <w:tc>
          <w:tcPr>
            <w:tcW w:w="910" w:type="dxa"/>
          </w:tcPr>
          <w:p w14:paraId="5371BEB0" w14:textId="77777777" w:rsidR="00857CD1" w:rsidRPr="002F280F" w:rsidRDefault="00857CD1" w:rsidP="00857CD1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-</w:t>
            </w:r>
          </w:p>
        </w:tc>
      </w:tr>
      <w:tr w:rsidR="00F12EAA" w14:paraId="031EC328" w14:textId="77777777" w:rsidTr="00F12EAA">
        <w:tc>
          <w:tcPr>
            <w:tcW w:w="708" w:type="dxa"/>
          </w:tcPr>
          <w:p w14:paraId="33B018E3" w14:textId="5DB81F85" w:rsidR="00F12EAA" w:rsidRPr="002F280F" w:rsidRDefault="00F12EAA" w:rsidP="00F12E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79" w:type="dxa"/>
          </w:tcPr>
          <w:p w14:paraId="05B78E84" w14:textId="59540D84" w:rsidR="00F12EAA" w:rsidRPr="002F280F" w:rsidRDefault="00F12EAA" w:rsidP="00F12E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08.11.2024.</w:t>
            </w:r>
          </w:p>
        </w:tc>
        <w:tc>
          <w:tcPr>
            <w:tcW w:w="1123" w:type="dxa"/>
          </w:tcPr>
          <w:p w14:paraId="6DE30D75" w14:textId="3DC38AA3" w:rsidR="00F12EAA" w:rsidRPr="002F280F" w:rsidRDefault="00F12EAA" w:rsidP="00F12E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Bjanko zadužnica OV-3548/2024</w:t>
            </w:r>
          </w:p>
        </w:tc>
        <w:tc>
          <w:tcPr>
            <w:tcW w:w="1095" w:type="dxa"/>
          </w:tcPr>
          <w:p w14:paraId="3A88217D" w14:textId="76C6F8B4" w:rsidR="00F12EAA" w:rsidRPr="002F280F" w:rsidRDefault="00F12EAA" w:rsidP="00F12E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2.000,00 €</w:t>
            </w:r>
          </w:p>
        </w:tc>
        <w:tc>
          <w:tcPr>
            <w:tcW w:w="1017" w:type="dxa"/>
          </w:tcPr>
          <w:p w14:paraId="1379861D" w14:textId="6C0BBFA6" w:rsidR="00F12EAA" w:rsidRPr="002F280F" w:rsidRDefault="00F12EAA" w:rsidP="00F12E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Stolarija Zemljić Krapinske Toplice</w:t>
            </w:r>
          </w:p>
        </w:tc>
        <w:tc>
          <w:tcPr>
            <w:tcW w:w="1225" w:type="dxa"/>
          </w:tcPr>
          <w:p w14:paraId="381AC7E0" w14:textId="2F59984C" w:rsidR="00F12EAA" w:rsidRPr="002F280F" w:rsidRDefault="00F12EAA" w:rsidP="00F12EAA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Otklanjanje nedostataka u jamstvenom roku</w:t>
            </w:r>
          </w:p>
        </w:tc>
        <w:tc>
          <w:tcPr>
            <w:tcW w:w="1142" w:type="dxa"/>
          </w:tcPr>
          <w:p w14:paraId="76729ED5" w14:textId="04B574F4" w:rsidR="00F12EAA" w:rsidRPr="002F280F" w:rsidRDefault="00F12EAA" w:rsidP="00F12E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Ugovor 406-01/24-01/4</w:t>
            </w:r>
          </w:p>
        </w:tc>
        <w:tc>
          <w:tcPr>
            <w:tcW w:w="889" w:type="dxa"/>
          </w:tcPr>
          <w:p w14:paraId="26445601" w14:textId="4E916A31" w:rsidR="00F12EAA" w:rsidRPr="002F280F" w:rsidRDefault="00F12EAA" w:rsidP="00F12EAA">
            <w:pPr>
              <w:jc w:val="center"/>
              <w:rPr>
                <w:bCs/>
                <w:sz w:val="20"/>
                <w:szCs w:val="20"/>
              </w:rPr>
            </w:pPr>
            <w:r w:rsidRPr="002F280F">
              <w:rPr>
                <w:bCs/>
                <w:sz w:val="20"/>
                <w:szCs w:val="20"/>
              </w:rPr>
              <w:t>60 mjeseci</w:t>
            </w:r>
          </w:p>
        </w:tc>
        <w:tc>
          <w:tcPr>
            <w:tcW w:w="910" w:type="dxa"/>
          </w:tcPr>
          <w:p w14:paraId="26A42B52" w14:textId="1472D821" w:rsidR="00F12EAA" w:rsidRPr="002F280F" w:rsidRDefault="00F12EAA" w:rsidP="00F12E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14:paraId="0C97C074" w14:textId="45FDE140" w:rsidR="003F02D0" w:rsidRDefault="003F02D0" w:rsidP="003A5EBF">
      <w:pPr>
        <w:pStyle w:val="Bezproreda"/>
      </w:pPr>
    </w:p>
    <w:p w14:paraId="38656CE8" w14:textId="479FA824" w:rsidR="007C44A6" w:rsidRDefault="007C44A6" w:rsidP="003A5EBF">
      <w:pPr>
        <w:pStyle w:val="Bezproreda"/>
      </w:pPr>
      <w:r w:rsidRPr="007C44A6">
        <w:rPr>
          <w:u w:val="single"/>
        </w:rPr>
        <w:t>Bilješka br.2</w:t>
      </w:r>
      <w:r>
        <w:t xml:space="preserve"> – Školska ustanova nema iskazane podatke u izvanbilančnoj evidenciji o ugovornim odnosima koji bi uz ispunjenje određenih uvjeta mogli postati obveza pa se tablica predaje prazna</w:t>
      </w:r>
      <w:r w:rsidR="00E1446E">
        <w:t>.</w:t>
      </w:r>
    </w:p>
    <w:p w14:paraId="184DC3B8" w14:textId="77777777" w:rsidR="00E1446E" w:rsidRDefault="00E1446E" w:rsidP="003A5EBF">
      <w:pPr>
        <w:pStyle w:val="Bezproreda"/>
      </w:pPr>
    </w:p>
    <w:p w14:paraId="0184716A" w14:textId="301242F6" w:rsidR="00E1446E" w:rsidRDefault="00E1446E" w:rsidP="003A5EBF">
      <w:pPr>
        <w:pStyle w:val="Bezproreda"/>
      </w:pPr>
      <w:r>
        <w:t>Tablica 2: Popis ugovornih odnosa koji uz ispunjenje određenih uvjeta mogu postati obveza</w:t>
      </w:r>
    </w:p>
    <w:p w14:paraId="6BC0CE37" w14:textId="1266818B" w:rsidR="007C44A6" w:rsidRDefault="007C44A6" w:rsidP="003A5EBF">
      <w:pPr>
        <w:pStyle w:val="Bezproreda"/>
      </w:pPr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"/>
        <w:gridCol w:w="1179"/>
        <w:gridCol w:w="1123"/>
        <w:gridCol w:w="1095"/>
        <w:gridCol w:w="1017"/>
        <w:gridCol w:w="1225"/>
        <w:gridCol w:w="1142"/>
        <w:gridCol w:w="889"/>
        <w:gridCol w:w="910"/>
      </w:tblGrid>
      <w:tr w:rsidR="007C44A6" w:rsidRPr="002F280F" w14:paraId="22BFB06D" w14:textId="77777777" w:rsidTr="00621DB7">
        <w:tc>
          <w:tcPr>
            <w:tcW w:w="708" w:type="dxa"/>
          </w:tcPr>
          <w:p w14:paraId="094371A0" w14:textId="77777777" w:rsidR="007C44A6" w:rsidRPr="002F280F" w:rsidRDefault="007C44A6" w:rsidP="00621DB7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Red. br.</w:t>
            </w:r>
          </w:p>
        </w:tc>
        <w:tc>
          <w:tcPr>
            <w:tcW w:w="1179" w:type="dxa"/>
          </w:tcPr>
          <w:p w14:paraId="7B6AAA1D" w14:textId="77777777" w:rsidR="007C44A6" w:rsidRPr="002F280F" w:rsidRDefault="007C44A6" w:rsidP="00621DB7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 xml:space="preserve">Datum </w:t>
            </w:r>
          </w:p>
          <w:p w14:paraId="460D1412" w14:textId="73936311" w:rsidR="007C44A6" w:rsidRPr="002F280F" w:rsidRDefault="007C44A6" w:rsidP="0062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izdavanja </w:t>
            </w:r>
            <w:r w:rsidRPr="002F280F">
              <w:rPr>
                <w:sz w:val="20"/>
                <w:szCs w:val="20"/>
              </w:rPr>
              <w:t>jamstva</w:t>
            </w:r>
          </w:p>
        </w:tc>
        <w:tc>
          <w:tcPr>
            <w:tcW w:w="1123" w:type="dxa"/>
          </w:tcPr>
          <w:p w14:paraId="7EC7C1FD" w14:textId="77777777" w:rsidR="007C44A6" w:rsidRPr="002F280F" w:rsidRDefault="007C44A6" w:rsidP="00621DB7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Instrument osiguranja</w:t>
            </w:r>
          </w:p>
        </w:tc>
        <w:tc>
          <w:tcPr>
            <w:tcW w:w="1095" w:type="dxa"/>
          </w:tcPr>
          <w:p w14:paraId="506A03BD" w14:textId="77777777" w:rsidR="007C44A6" w:rsidRPr="002F280F" w:rsidRDefault="007C44A6" w:rsidP="00621DB7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 xml:space="preserve">Iznos </w:t>
            </w:r>
          </w:p>
          <w:p w14:paraId="0E1E5B2E" w14:textId="20047AD3" w:rsidR="007C44A6" w:rsidRPr="002F280F" w:rsidRDefault="007C44A6" w:rsidP="0062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2F280F">
              <w:rPr>
                <w:sz w:val="20"/>
                <w:szCs w:val="20"/>
              </w:rPr>
              <w:t>nog jamstva</w:t>
            </w:r>
          </w:p>
        </w:tc>
        <w:tc>
          <w:tcPr>
            <w:tcW w:w="1017" w:type="dxa"/>
          </w:tcPr>
          <w:p w14:paraId="3D9CAE4E" w14:textId="105D91C5" w:rsidR="007C44A6" w:rsidRPr="002F280F" w:rsidRDefault="007C44A6" w:rsidP="0062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</w:t>
            </w:r>
            <w:r w:rsidRPr="002F280F">
              <w:rPr>
                <w:sz w:val="20"/>
                <w:szCs w:val="20"/>
              </w:rPr>
              <w:t>telj jamstva</w:t>
            </w:r>
          </w:p>
        </w:tc>
        <w:tc>
          <w:tcPr>
            <w:tcW w:w="1225" w:type="dxa"/>
          </w:tcPr>
          <w:p w14:paraId="3ED7C1D3" w14:textId="77777777" w:rsidR="007C44A6" w:rsidRPr="002F280F" w:rsidRDefault="007C44A6" w:rsidP="00621DB7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Namjena</w:t>
            </w:r>
          </w:p>
        </w:tc>
        <w:tc>
          <w:tcPr>
            <w:tcW w:w="1142" w:type="dxa"/>
          </w:tcPr>
          <w:p w14:paraId="76338D2C" w14:textId="77777777" w:rsidR="007C44A6" w:rsidRPr="002F280F" w:rsidRDefault="007C44A6" w:rsidP="00621DB7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Dokument</w:t>
            </w:r>
          </w:p>
        </w:tc>
        <w:tc>
          <w:tcPr>
            <w:tcW w:w="889" w:type="dxa"/>
          </w:tcPr>
          <w:p w14:paraId="32BBC2CD" w14:textId="77777777" w:rsidR="007C44A6" w:rsidRPr="002F280F" w:rsidRDefault="007C44A6" w:rsidP="00621DB7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Rok važenja</w:t>
            </w:r>
          </w:p>
        </w:tc>
        <w:tc>
          <w:tcPr>
            <w:tcW w:w="910" w:type="dxa"/>
          </w:tcPr>
          <w:p w14:paraId="682D0903" w14:textId="77777777" w:rsidR="007C44A6" w:rsidRPr="002F280F" w:rsidRDefault="007C44A6" w:rsidP="00621DB7">
            <w:pPr>
              <w:rPr>
                <w:sz w:val="20"/>
                <w:szCs w:val="20"/>
              </w:rPr>
            </w:pPr>
            <w:r w:rsidRPr="002F280F">
              <w:rPr>
                <w:sz w:val="20"/>
                <w:szCs w:val="20"/>
              </w:rPr>
              <w:t>Napom.</w:t>
            </w:r>
          </w:p>
        </w:tc>
      </w:tr>
      <w:tr w:rsidR="007C44A6" w:rsidRPr="002F280F" w14:paraId="0EAD90F5" w14:textId="77777777" w:rsidTr="00621DB7">
        <w:tc>
          <w:tcPr>
            <w:tcW w:w="708" w:type="dxa"/>
          </w:tcPr>
          <w:p w14:paraId="2EE01480" w14:textId="19427762" w:rsidR="007C44A6" w:rsidRPr="002F280F" w:rsidRDefault="007C44A6" w:rsidP="00621D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dxa"/>
          </w:tcPr>
          <w:p w14:paraId="657F303D" w14:textId="63B45C36" w:rsidR="007C44A6" w:rsidRPr="002F280F" w:rsidRDefault="007C44A6" w:rsidP="00621D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5B6A87C6" w14:textId="05E600AB" w:rsidR="007C44A6" w:rsidRPr="002F280F" w:rsidRDefault="007C44A6" w:rsidP="00621D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5" w:type="dxa"/>
          </w:tcPr>
          <w:p w14:paraId="20E79B30" w14:textId="057C200B" w:rsidR="007C44A6" w:rsidRPr="002F280F" w:rsidRDefault="007C44A6" w:rsidP="00621D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70393542" w14:textId="5081252D" w:rsidR="007C44A6" w:rsidRPr="002F280F" w:rsidRDefault="007C44A6" w:rsidP="00621D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5DBD275A" w14:textId="03BEF9C8" w:rsidR="007C44A6" w:rsidRPr="002F280F" w:rsidRDefault="007C44A6" w:rsidP="00621D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3C9B83A2" w14:textId="3DAF28DA" w:rsidR="007C44A6" w:rsidRPr="002F280F" w:rsidRDefault="007C44A6" w:rsidP="00621D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3515B2D2" w14:textId="59EEEAB6" w:rsidR="007C44A6" w:rsidRPr="002F280F" w:rsidRDefault="007C44A6" w:rsidP="00621D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14:paraId="1C79FB62" w14:textId="70ADE31E" w:rsidR="007C44A6" w:rsidRPr="002F280F" w:rsidRDefault="007C44A6" w:rsidP="00621DB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7B73B81" w14:textId="77777777" w:rsidR="00F34989" w:rsidRDefault="00F34989" w:rsidP="003A5EBF">
      <w:pPr>
        <w:pStyle w:val="Bezproreda"/>
      </w:pPr>
    </w:p>
    <w:p w14:paraId="79BFF257" w14:textId="4440554D" w:rsidR="003F02D0" w:rsidRDefault="003F02D0" w:rsidP="003A5EBF">
      <w:pPr>
        <w:pStyle w:val="Bezproreda"/>
      </w:pPr>
      <w:r w:rsidRPr="00B568CE">
        <w:rPr>
          <w:u w:val="single"/>
        </w:rPr>
        <w:t>Bilješka broj</w:t>
      </w:r>
      <w:r>
        <w:rPr>
          <w:u w:val="single"/>
        </w:rPr>
        <w:t xml:space="preserve"> </w:t>
      </w:r>
      <w:r w:rsidR="00E1446E">
        <w:rPr>
          <w:u w:val="single"/>
        </w:rPr>
        <w:t>3</w:t>
      </w:r>
      <w:r>
        <w:t xml:space="preserve"> -  </w:t>
      </w:r>
      <w:r w:rsidR="00E1446E">
        <w:t>Š</w:t>
      </w:r>
      <w:r>
        <w:t>kol</w:t>
      </w:r>
      <w:r w:rsidR="00766736">
        <w:t>ska ustanova</w:t>
      </w:r>
      <w:r>
        <w:t xml:space="preserve"> </w:t>
      </w:r>
      <w:r w:rsidR="00E1446E">
        <w:t>i</w:t>
      </w:r>
      <w:r>
        <w:t xml:space="preserve">ma </w:t>
      </w:r>
      <w:r w:rsidR="00766736">
        <w:t xml:space="preserve">iskazane podatke u izvanbilančnoj evidenciji o </w:t>
      </w:r>
      <w:r w:rsidR="00E1446E">
        <w:t xml:space="preserve">dva </w:t>
      </w:r>
      <w:r>
        <w:t>sudsk</w:t>
      </w:r>
      <w:r w:rsidR="00E1446E">
        <w:t>a</w:t>
      </w:r>
      <w:r>
        <w:t xml:space="preserve"> postupaka u  tijeku kao tuženik, </w:t>
      </w:r>
      <w:r w:rsidR="00E1446E">
        <w:t>pa se podaci iskazuju u tablici br.3</w:t>
      </w:r>
      <w:r w:rsidR="00FA6984">
        <w:t>.</w:t>
      </w:r>
    </w:p>
    <w:p w14:paraId="7BE19A57" w14:textId="62C38AEF" w:rsidR="006C708C" w:rsidRDefault="006C708C" w:rsidP="003A5EBF">
      <w:pPr>
        <w:pStyle w:val="Bezproreda"/>
      </w:pPr>
      <w:r>
        <w:lastRenderedPageBreak/>
        <w:t>Tablica</w:t>
      </w:r>
      <w:r w:rsidR="005027F9">
        <w:t xml:space="preserve"> </w:t>
      </w:r>
      <w:r w:rsidR="00E1446E">
        <w:t>3</w:t>
      </w:r>
      <w:r>
        <w:t>: Popis sudskih sporova u tijeku</w:t>
      </w:r>
      <w:r w:rsidR="00766736">
        <w:t xml:space="preserve"> koji bi mogli postati obveza</w:t>
      </w:r>
    </w:p>
    <w:p w14:paraId="18EAE87B" w14:textId="4617C5E1" w:rsidR="006C708C" w:rsidRDefault="006C708C" w:rsidP="003A5EBF">
      <w:pPr>
        <w:pStyle w:val="Bezproreda"/>
      </w:pPr>
    </w:p>
    <w:tbl>
      <w:tblPr>
        <w:tblStyle w:val="Reetkatablice"/>
        <w:tblW w:w="9457" w:type="dxa"/>
        <w:tblLook w:val="04A0" w:firstRow="1" w:lastRow="0" w:firstColumn="1" w:lastColumn="0" w:noHBand="0" w:noVBand="1"/>
      </w:tblPr>
      <w:tblGrid>
        <w:gridCol w:w="617"/>
        <w:gridCol w:w="902"/>
        <w:gridCol w:w="863"/>
        <w:gridCol w:w="1380"/>
        <w:gridCol w:w="944"/>
        <w:gridCol w:w="1272"/>
        <w:gridCol w:w="1338"/>
        <w:gridCol w:w="939"/>
        <w:gridCol w:w="1202"/>
      </w:tblGrid>
      <w:tr w:rsidR="006C708C" w14:paraId="0C801439" w14:textId="77777777" w:rsidTr="00766736">
        <w:trPr>
          <w:trHeight w:val="1277"/>
        </w:trPr>
        <w:tc>
          <w:tcPr>
            <w:tcW w:w="617" w:type="dxa"/>
            <w:tcBorders>
              <w:bottom w:val="single" w:sz="4" w:space="0" w:color="auto"/>
            </w:tcBorders>
          </w:tcPr>
          <w:p w14:paraId="06E56751" w14:textId="77777777" w:rsidR="006C708C" w:rsidRDefault="00857CD1" w:rsidP="003A5EBF">
            <w:pPr>
              <w:pStyle w:val="Bezproreda"/>
            </w:pPr>
            <w:r>
              <w:t>Red.</w:t>
            </w:r>
          </w:p>
          <w:p w14:paraId="29B93D7C" w14:textId="77777777" w:rsidR="00857CD1" w:rsidRDefault="00857CD1" w:rsidP="003A5EBF">
            <w:pPr>
              <w:pStyle w:val="Bezproreda"/>
            </w:pPr>
            <w:r>
              <w:t>br.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42787438" w14:textId="77777777" w:rsidR="00857CD1" w:rsidRDefault="00857CD1" w:rsidP="003A5EBF">
            <w:pPr>
              <w:pStyle w:val="Bezproreda"/>
            </w:pPr>
            <w:r>
              <w:t>Tuženik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0F6EB3" w14:textId="77777777" w:rsidR="00857CD1" w:rsidRDefault="00857CD1" w:rsidP="003A5EBF">
            <w:pPr>
              <w:pStyle w:val="Bezproreda"/>
            </w:pPr>
            <w:r>
              <w:t>Tužitelj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45168126" w14:textId="77777777" w:rsidR="00857CD1" w:rsidRDefault="00857CD1" w:rsidP="003A5EBF">
            <w:pPr>
              <w:pStyle w:val="Bezproreda"/>
            </w:pPr>
            <w:r>
              <w:t>Sažeti opis prirode spora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0B656A85" w14:textId="77777777" w:rsidR="00857CD1" w:rsidRDefault="00857CD1" w:rsidP="003A5EBF">
            <w:pPr>
              <w:pStyle w:val="Bezproreda"/>
            </w:pPr>
            <w:r>
              <w:t>Iznos glavnice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CB43061" w14:textId="77777777" w:rsidR="00857CD1" w:rsidRDefault="00857CD1" w:rsidP="003A5EBF">
            <w:pPr>
              <w:pStyle w:val="Bezproreda"/>
            </w:pPr>
            <w:r>
              <w:t>Procjena financijskog učinka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175C03E5" w14:textId="1BCB9CA3" w:rsidR="00857CD1" w:rsidRDefault="00857CD1" w:rsidP="003A5EBF">
            <w:pPr>
              <w:pStyle w:val="Bezproreda"/>
            </w:pPr>
            <w:r>
              <w:t>Procijenjeno vrijeme odljeva</w:t>
            </w:r>
            <w:r w:rsidR="00FA6984">
              <w:t xml:space="preserve"> </w:t>
            </w:r>
            <w:r>
              <w:t xml:space="preserve">sredstava 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400E28A1" w14:textId="77777777" w:rsidR="00857CD1" w:rsidRDefault="00857CD1" w:rsidP="003A5EBF">
            <w:pPr>
              <w:pStyle w:val="Bezproreda"/>
            </w:pPr>
            <w:r>
              <w:t>Početak sudskog spora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7A398A6B" w14:textId="77777777" w:rsidR="00857CD1" w:rsidRDefault="006C708C" w:rsidP="006C708C">
            <w:pPr>
              <w:pStyle w:val="Bezproreda"/>
            </w:pPr>
            <w:r>
              <w:t>Napomena</w:t>
            </w:r>
          </w:p>
        </w:tc>
      </w:tr>
      <w:tr w:rsidR="006C708C" w14:paraId="56C99701" w14:textId="77777777" w:rsidTr="00766736">
        <w:trPr>
          <w:trHeight w:val="245"/>
        </w:trPr>
        <w:tc>
          <w:tcPr>
            <w:tcW w:w="617" w:type="dxa"/>
            <w:tcBorders>
              <w:bottom w:val="single" w:sz="4" w:space="0" w:color="auto"/>
            </w:tcBorders>
          </w:tcPr>
          <w:p w14:paraId="2894912C" w14:textId="7B6009B5" w:rsidR="00857CD1" w:rsidRPr="002F2AC7" w:rsidRDefault="00E1446E" w:rsidP="006C708C">
            <w:pPr>
              <w:pStyle w:val="Bezproreda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691FCE1" w14:textId="72226316" w:rsidR="00857CD1" w:rsidRPr="002F2AC7" w:rsidRDefault="00766736" w:rsidP="006C708C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Š</w:t>
            </w:r>
            <w:r w:rsidR="00E1446E">
              <w:rPr>
                <w:bCs/>
                <w:sz w:val="18"/>
                <w:szCs w:val="18"/>
              </w:rPr>
              <w:t>kola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99F30EA" w14:textId="0CFF456B" w:rsidR="00857CD1" w:rsidRPr="002F2AC7" w:rsidRDefault="00E1446E" w:rsidP="006C708C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Fizička osoba A.A.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B242712" w14:textId="1CF075B8" w:rsidR="00857CD1" w:rsidRPr="002F2AC7" w:rsidRDefault="00E1446E" w:rsidP="006C708C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Radni spor zbog nezapošljavanja po natječaju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74FBC1DD" w14:textId="644BF4E9" w:rsidR="00857CD1" w:rsidRPr="002F2AC7" w:rsidRDefault="00E1446E" w:rsidP="006C708C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6.636,14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94943CD" w14:textId="77B86017" w:rsidR="00857CD1" w:rsidRPr="002F2AC7" w:rsidRDefault="00766736" w:rsidP="006C708C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ABB0DE1" w14:textId="2B93CF13" w:rsidR="00857CD1" w:rsidRPr="002F2AC7" w:rsidRDefault="00766736" w:rsidP="006C708C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451034B3" w14:textId="48581F5F" w:rsidR="00857CD1" w:rsidRPr="002F2AC7" w:rsidRDefault="00766736" w:rsidP="006C708C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01/2024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9C28734" w14:textId="77777777" w:rsidR="00857CD1" w:rsidRPr="002F2AC7" w:rsidRDefault="006C708C" w:rsidP="006C708C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 w:rsidRPr="002F2AC7">
              <w:rPr>
                <w:bCs/>
                <w:sz w:val="18"/>
                <w:szCs w:val="18"/>
              </w:rPr>
              <w:t>-</w:t>
            </w:r>
          </w:p>
        </w:tc>
      </w:tr>
      <w:tr w:rsidR="00766736" w14:paraId="4F2DAA65" w14:textId="77777777" w:rsidTr="00766736">
        <w:trPr>
          <w:trHeight w:val="245"/>
        </w:trPr>
        <w:tc>
          <w:tcPr>
            <w:tcW w:w="617" w:type="dxa"/>
            <w:tcBorders>
              <w:bottom w:val="single" w:sz="4" w:space="0" w:color="auto"/>
            </w:tcBorders>
          </w:tcPr>
          <w:p w14:paraId="6A9D5639" w14:textId="569C9036" w:rsidR="00766736" w:rsidRDefault="00766736" w:rsidP="00766736">
            <w:pPr>
              <w:pStyle w:val="Bezproreda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3101C7B6" w14:textId="25375456" w:rsidR="00766736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Škola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576663" w14:textId="2B525F46" w:rsidR="00766736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Fizička osoba A.A.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2FFFB291" w14:textId="121DBBED" w:rsidR="00766736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Radni spor zbog nezapošljavanja po natječaju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7F722CE7" w14:textId="19BF2F1E" w:rsidR="00766736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6.636,14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A319E04" w14:textId="567F5854" w:rsidR="00766736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C87E249" w14:textId="6E6C84D3" w:rsidR="00766736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4400D466" w14:textId="199A0677" w:rsidR="00766736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03/2024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6EE12AA3" w14:textId="44F6C923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766736" w14:paraId="2E903178" w14:textId="77777777" w:rsidTr="00766736">
        <w:trPr>
          <w:trHeight w:val="258"/>
        </w:trPr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4F073" w14:textId="41375B09" w:rsidR="00766736" w:rsidRPr="002F2AC7" w:rsidRDefault="00766736" w:rsidP="00766736">
            <w:pPr>
              <w:pStyle w:val="Bezproreda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94252" w14:textId="7CB1848F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215C3" w14:textId="62915688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9A8BD" w14:textId="0299D51C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B3EC5" w14:textId="493147BC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3B274" w14:textId="318B5464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1F065" w14:textId="5252120D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02E07" w14:textId="0D56B45D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2AC7E" w14:textId="77777777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</w:tr>
      <w:tr w:rsidR="00766736" w14:paraId="4533A9E0" w14:textId="77777777" w:rsidTr="00766736">
        <w:trPr>
          <w:trHeight w:val="24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5072A7B2" w14:textId="0166F788" w:rsidR="00766736" w:rsidRDefault="00766736" w:rsidP="00766736">
            <w:pPr>
              <w:pStyle w:val="Bezproreda"/>
              <w:rPr>
                <w:bCs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99827D6" w14:textId="45C0681D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D3D2438" w14:textId="5DD16945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DA34C43" w14:textId="294882DF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CB190F7" w14:textId="31B9358F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313197D" w14:textId="61C3DB19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7EC5AE5E" w14:textId="7FBF1CE1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0BF43D0" w14:textId="03AC3021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4499392F" w14:textId="77777777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</w:tr>
      <w:tr w:rsidR="00766736" w14:paraId="59F83BA4" w14:textId="77777777" w:rsidTr="00766736">
        <w:trPr>
          <w:trHeight w:val="25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59C74FEE" w14:textId="05C31B2C" w:rsidR="00766736" w:rsidRPr="00CC274F" w:rsidRDefault="00766736" w:rsidP="00CC274F">
            <w:pPr>
              <w:pStyle w:val="Bezproreda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E524B28" w14:textId="207363A9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61A1460" w14:textId="41B6E4C6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18C6E5B" w14:textId="7FB79AB4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3727DD7" w14:textId="35FB2B44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A52606B" w14:textId="3097433C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549D55E" w14:textId="45B44A68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C8B5197" w14:textId="6632CB76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7C5CA8C" w14:textId="77777777" w:rsidR="00766736" w:rsidRPr="002F2AC7" w:rsidRDefault="00766736" w:rsidP="00766736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5F3526C" w14:textId="731545B5" w:rsidR="0073255A" w:rsidRDefault="006266ED" w:rsidP="003A5EBF">
      <w:pPr>
        <w:pStyle w:val="Bezproreda"/>
      </w:pPr>
      <w:r>
        <w:rPr>
          <w:u w:val="single"/>
        </w:rPr>
        <w:t>Bilješka br.4 –</w:t>
      </w:r>
      <w:r>
        <w:t xml:space="preserve"> školska ustanova nema iskazane podatke u izvanbilančnoj evidenciji o sudskim postupcima u kojima bi bila tužitelj pa se tablica br. 4 predaje prazna.</w:t>
      </w:r>
    </w:p>
    <w:p w14:paraId="0835FCE2" w14:textId="77777777" w:rsidR="00FA6984" w:rsidRDefault="00FA6984" w:rsidP="003A5EBF">
      <w:pPr>
        <w:pStyle w:val="Bezproreda"/>
      </w:pPr>
    </w:p>
    <w:p w14:paraId="374FF970" w14:textId="5B13C9C7" w:rsidR="00FA6984" w:rsidRDefault="00FA6984" w:rsidP="003A5EBF">
      <w:pPr>
        <w:pStyle w:val="Bezproreda"/>
      </w:pPr>
      <w:r>
        <w:t>Tablica 4: Popis sudskih sporova u tijeku koji bi mogli postati imovina</w:t>
      </w:r>
    </w:p>
    <w:p w14:paraId="334C30F2" w14:textId="77777777" w:rsidR="006266ED" w:rsidRDefault="006266ED" w:rsidP="003A5EBF">
      <w:pPr>
        <w:pStyle w:val="Bezproreda"/>
      </w:pPr>
    </w:p>
    <w:tbl>
      <w:tblPr>
        <w:tblStyle w:val="Reetkatablice"/>
        <w:tblW w:w="9457" w:type="dxa"/>
        <w:tblLook w:val="04A0" w:firstRow="1" w:lastRow="0" w:firstColumn="1" w:lastColumn="0" w:noHBand="0" w:noVBand="1"/>
      </w:tblPr>
      <w:tblGrid>
        <w:gridCol w:w="617"/>
        <w:gridCol w:w="902"/>
        <w:gridCol w:w="863"/>
        <w:gridCol w:w="1380"/>
        <w:gridCol w:w="944"/>
        <w:gridCol w:w="1272"/>
        <w:gridCol w:w="1338"/>
        <w:gridCol w:w="939"/>
        <w:gridCol w:w="1202"/>
      </w:tblGrid>
      <w:tr w:rsidR="006266ED" w14:paraId="78267BF3" w14:textId="77777777" w:rsidTr="00AA01E6">
        <w:trPr>
          <w:trHeight w:val="1277"/>
        </w:trPr>
        <w:tc>
          <w:tcPr>
            <w:tcW w:w="617" w:type="dxa"/>
            <w:tcBorders>
              <w:bottom w:val="single" w:sz="4" w:space="0" w:color="auto"/>
            </w:tcBorders>
          </w:tcPr>
          <w:p w14:paraId="70C1D05E" w14:textId="77777777" w:rsidR="006266ED" w:rsidRDefault="006266ED" w:rsidP="00AA01E6">
            <w:pPr>
              <w:pStyle w:val="Bezproreda"/>
            </w:pPr>
            <w:r>
              <w:t>Red.</w:t>
            </w:r>
          </w:p>
          <w:p w14:paraId="5663A47A" w14:textId="77777777" w:rsidR="006266ED" w:rsidRDefault="006266ED" w:rsidP="00AA01E6">
            <w:pPr>
              <w:pStyle w:val="Bezproreda"/>
            </w:pPr>
            <w:r>
              <w:t>br.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47A9BFC0" w14:textId="77777777" w:rsidR="006266ED" w:rsidRDefault="006266ED" w:rsidP="00AA01E6">
            <w:pPr>
              <w:pStyle w:val="Bezproreda"/>
            </w:pPr>
            <w:r>
              <w:t>Tuženik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2E0403" w14:textId="77777777" w:rsidR="006266ED" w:rsidRDefault="006266ED" w:rsidP="00AA01E6">
            <w:pPr>
              <w:pStyle w:val="Bezproreda"/>
            </w:pPr>
            <w:r>
              <w:t>Tužitelj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E5CCA12" w14:textId="77777777" w:rsidR="006266ED" w:rsidRDefault="006266ED" w:rsidP="00AA01E6">
            <w:pPr>
              <w:pStyle w:val="Bezproreda"/>
            </w:pPr>
            <w:r>
              <w:t>Sažeti opis prirode spora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08C0EC5C" w14:textId="77777777" w:rsidR="006266ED" w:rsidRDefault="006266ED" w:rsidP="00AA01E6">
            <w:pPr>
              <w:pStyle w:val="Bezproreda"/>
            </w:pPr>
            <w:r>
              <w:t>Iznos glavnice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C383466" w14:textId="77777777" w:rsidR="006266ED" w:rsidRDefault="006266ED" w:rsidP="00AA01E6">
            <w:pPr>
              <w:pStyle w:val="Bezproreda"/>
            </w:pPr>
            <w:r>
              <w:t>Procjena financijskog učinka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33F28FC" w14:textId="3100FF23" w:rsidR="006266ED" w:rsidRDefault="006266ED" w:rsidP="00AA01E6">
            <w:pPr>
              <w:pStyle w:val="Bezproreda"/>
            </w:pPr>
            <w:r>
              <w:t xml:space="preserve">Procijenjeno vrijeme </w:t>
            </w:r>
          </w:p>
          <w:p w14:paraId="6914362B" w14:textId="77777777" w:rsidR="006266ED" w:rsidRDefault="006266ED" w:rsidP="00AA01E6">
            <w:pPr>
              <w:pStyle w:val="Bezproreda"/>
            </w:pPr>
            <w:r>
              <w:t xml:space="preserve">priljeva sredstava 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476EFBAB" w14:textId="77777777" w:rsidR="006266ED" w:rsidRDefault="006266ED" w:rsidP="00AA01E6">
            <w:pPr>
              <w:pStyle w:val="Bezproreda"/>
            </w:pPr>
            <w:r>
              <w:t>Početak sudskog spora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07B9A61E" w14:textId="77777777" w:rsidR="006266ED" w:rsidRDefault="006266ED" w:rsidP="00AA01E6">
            <w:pPr>
              <w:pStyle w:val="Bezproreda"/>
            </w:pPr>
            <w:r>
              <w:t>Napomena</w:t>
            </w:r>
          </w:p>
        </w:tc>
      </w:tr>
      <w:tr w:rsidR="006266ED" w:rsidRPr="002F2AC7" w14:paraId="63E02191" w14:textId="77777777" w:rsidTr="00AA01E6">
        <w:trPr>
          <w:trHeight w:val="245"/>
        </w:trPr>
        <w:tc>
          <w:tcPr>
            <w:tcW w:w="617" w:type="dxa"/>
            <w:tcBorders>
              <w:bottom w:val="single" w:sz="4" w:space="0" w:color="auto"/>
            </w:tcBorders>
          </w:tcPr>
          <w:p w14:paraId="776E1C2D" w14:textId="18994192" w:rsidR="006266ED" w:rsidRPr="002F2AC7" w:rsidRDefault="00FA6984" w:rsidP="00AA01E6">
            <w:pPr>
              <w:pStyle w:val="Bezproreda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563BD0C6" w14:textId="740AC803" w:rsidR="006266ED" w:rsidRPr="002F2AC7" w:rsidRDefault="006266ED" w:rsidP="00AA01E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FC52175" w14:textId="5CA81E96" w:rsidR="006266ED" w:rsidRPr="002F2AC7" w:rsidRDefault="006266ED" w:rsidP="00AA01E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58A16410" w14:textId="38AA584E" w:rsidR="006266ED" w:rsidRPr="002F2AC7" w:rsidRDefault="006266ED" w:rsidP="00AA01E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42889C7E" w14:textId="7A0A6CD1" w:rsidR="006266ED" w:rsidRPr="002F2AC7" w:rsidRDefault="006266ED" w:rsidP="00AA01E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DE87015" w14:textId="7CFD8EE0" w:rsidR="006266ED" w:rsidRPr="002F2AC7" w:rsidRDefault="006266ED" w:rsidP="00AA01E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9209518" w14:textId="265F1872" w:rsidR="006266ED" w:rsidRPr="002F2AC7" w:rsidRDefault="006266ED" w:rsidP="00AA01E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62048DC9" w14:textId="293984A3" w:rsidR="006266ED" w:rsidRPr="002F2AC7" w:rsidRDefault="006266ED" w:rsidP="00AA01E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63C05094" w14:textId="77777777" w:rsidR="006266ED" w:rsidRPr="002F2AC7" w:rsidRDefault="006266ED" w:rsidP="00AA01E6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 w:rsidRPr="002F2AC7">
              <w:rPr>
                <w:bCs/>
                <w:sz w:val="18"/>
                <w:szCs w:val="18"/>
              </w:rPr>
              <w:t>-</w:t>
            </w:r>
          </w:p>
        </w:tc>
      </w:tr>
    </w:tbl>
    <w:p w14:paraId="18890537" w14:textId="77777777" w:rsidR="006266ED" w:rsidRDefault="006266ED" w:rsidP="003A5EBF">
      <w:pPr>
        <w:pStyle w:val="Bezproreda"/>
      </w:pPr>
    </w:p>
    <w:p w14:paraId="37F34F94" w14:textId="77777777" w:rsidR="006266ED" w:rsidRPr="006266ED" w:rsidRDefault="006266ED" w:rsidP="003A5EBF">
      <w:pPr>
        <w:pStyle w:val="Bezproreda"/>
      </w:pPr>
    </w:p>
    <w:p w14:paraId="2F2F1F31" w14:textId="517818DE" w:rsidR="009221D1" w:rsidRPr="009221D1" w:rsidRDefault="009221D1" w:rsidP="003A5EBF">
      <w:pPr>
        <w:pStyle w:val="Bezproreda"/>
      </w:pPr>
      <w:r>
        <w:rPr>
          <w:u w:val="single"/>
        </w:rPr>
        <w:t>Bilješka broj 5</w:t>
      </w:r>
      <w:r>
        <w:t xml:space="preserve"> – Poslovni objekti 0212 – stanje na dan 31.12.2024. s</w:t>
      </w:r>
      <w:r w:rsidR="00600ACD">
        <w:t>e</w:t>
      </w:r>
      <w:r>
        <w:t xml:space="preserve"> u odnosu na stanje 01.01.2024. povećalo zbog </w:t>
      </w:r>
      <w:r w:rsidR="00600ACD">
        <w:t>dodatnih ulaganja na zgradi matične škole u Krapini, izvršeni su radovi na sanaciji i izmjeni južnog i sjevernog bočnog tornja</w:t>
      </w:r>
      <w:r w:rsidR="00C75F9E">
        <w:t xml:space="preserve">, </w:t>
      </w:r>
      <w:r w:rsidR="00600ACD">
        <w:t>središnjeg limenog pokrova te zamjena unutarnje stolarije.</w:t>
      </w:r>
    </w:p>
    <w:p w14:paraId="15400871" w14:textId="26B04D34" w:rsidR="00743A2D" w:rsidRDefault="00A05A88" w:rsidP="003A5EBF">
      <w:pPr>
        <w:pStyle w:val="Bezproreda"/>
      </w:pPr>
      <w:r w:rsidRPr="001F3715">
        <w:rPr>
          <w:u w:val="single"/>
        </w:rPr>
        <w:t xml:space="preserve">Bilješka broj </w:t>
      </w:r>
      <w:r w:rsidR="00600ACD">
        <w:rPr>
          <w:u w:val="single"/>
        </w:rPr>
        <w:t>6</w:t>
      </w:r>
      <w:r w:rsidR="00AB2AAE">
        <w:t xml:space="preserve"> – Uredska</w:t>
      </w:r>
      <w:r>
        <w:t xml:space="preserve"> oprema</w:t>
      </w:r>
      <w:r w:rsidR="00AB2AAE">
        <w:t xml:space="preserve"> i namještaj </w:t>
      </w:r>
      <w:r w:rsidR="001F3715">
        <w:t>022</w:t>
      </w:r>
      <w:r w:rsidR="00AB2AAE">
        <w:t>1</w:t>
      </w:r>
      <w:r w:rsidR="001F3715">
        <w:t xml:space="preserve"> </w:t>
      </w:r>
      <w:r>
        <w:t>– stanje na dan 31.12.202</w:t>
      </w:r>
      <w:r w:rsidR="00600ACD">
        <w:t>4</w:t>
      </w:r>
      <w:r>
        <w:t>. se u odnosu na stanje 01.01.202</w:t>
      </w:r>
      <w:r w:rsidR="00600ACD">
        <w:t>4</w:t>
      </w:r>
      <w:r>
        <w:t xml:space="preserve">. </w:t>
      </w:r>
      <w:r w:rsidR="00AB2AAE">
        <w:t>povećal</w:t>
      </w:r>
      <w:r>
        <w:t xml:space="preserve">o zbog </w:t>
      </w:r>
      <w:r w:rsidR="00AB2AAE">
        <w:t>prijenosa informatičke opreme</w:t>
      </w:r>
      <w:r w:rsidR="00F7665F">
        <w:t xml:space="preserve"> Odlukom </w:t>
      </w:r>
      <w:r w:rsidR="0077642E">
        <w:t>Catneta</w:t>
      </w:r>
      <w:r w:rsidR="00F7665F">
        <w:t xml:space="preserve"> u poslovne knjige škole, a </w:t>
      </w:r>
      <w:r w:rsidR="00AB2AAE">
        <w:t>koja se vodila u izvanbilančnoj evidencij</w:t>
      </w:r>
      <w:r w:rsidR="00F7665F">
        <w:t>i</w:t>
      </w:r>
      <w:r w:rsidR="00600ACD">
        <w:t xml:space="preserve"> te zbog nabave nove opreme.</w:t>
      </w:r>
    </w:p>
    <w:p w14:paraId="33B9856F" w14:textId="4991EA87" w:rsidR="00AB2AAE" w:rsidRDefault="00AB2AAE" w:rsidP="003A5EBF">
      <w:pPr>
        <w:pStyle w:val="Bezproreda"/>
      </w:pPr>
      <w:r w:rsidRPr="00F7665F">
        <w:rPr>
          <w:u w:val="single"/>
        </w:rPr>
        <w:t>Bilješka b</w:t>
      </w:r>
      <w:r w:rsidR="00F7665F" w:rsidRPr="00F7665F">
        <w:rPr>
          <w:u w:val="single"/>
        </w:rPr>
        <w:t>r</w:t>
      </w:r>
      <w:r w:rsidRPr="00F7665F">
        <w:rPr>
          <w:u w:val="single"/>
        </w:rPr>
        <w:t>oj</w:t>
      </w:r>
      <w:r w:rsidR="00F7665F" w:rsidRPr="00F7665F">
        <w:rPr>
          <w:u w:val="single"/>
        </w:rPr>
        <w:t xml:space="preserve"> </w:t>
      </w:r>
      <w:r w:rsidR="00600ACD">
        <w:rPr>
          <w:u w:val="single"/>
        </w:rPr>
        <w:t>7</w:t>
      </w:r>
      <w:r>
        <w:t xml:space="preserve"> –</w:t>
      </w:r>
      <w:r w:rsidR="00600ACD">
        <w:t>Sport</w:t>
      </w:r>
      <w:r>
        <w:t>ska oprema 022</w:t>
      </w:r>
      <w:r w:rsidR="00600ACD">
        <w:t>6</w:t>
      </w:r>
      <w:r>
        <w:t>- stanje na dan 31.12.202</w:t>
      </w:r>
      <w:r w:rsidR="00600ACD">
        <w:t>4</w:t>
      </w:r>
      <w:r>
        <w:t>. se u odnosu na stanje 01.01.202</w:t>
      </w:r>
      <w:r w:rsidR="00600ACD">
        <w:t>4</w:t>
      </w:r>
      <w:r>
        <w:t>. smanjilo ubog isknjiženja i odvoza na otpad stare, dotrajale i neupotrebljive opreme.</w:t>
      </w:r>
    </w:p>
    <w:p w14:paraId="69C729C3" w14:textId="794540BA" w:rsidR="00494184" w:rsidRDefault="00494184" w:rsidP="003A5EBF">
      <w:pPr>
        <w:pStyle w:val="Bezproreda"/>
      </w:pPr>
      <w:r w:rsidRPr="00F7665F">
        <w:rPr>
          <w:u w:val="single"/>
        </w:rPr>
        <w:t>Bilješka broj</w:t>
      </w:r>
      <w:r w:rsidR="00F7665F" w:rsidRPr="00F7665F">
        <w:rPr>
          <w:u w:val="single"/>
        </w:rPr>
        <w:t xml:space="preserve"> </w:t>
      </w:r>
      <w:r w:rsidR="00600ACD">
        <w:rPr>
          <w:u w:val="single"/>
        </w:rPr>
        <w:t>8</w:t>
      </w:r>
      <w:r>
        <w:t xml:space="preserve"> –Uređaji strojevi i oprema za ostale namjene-0227- stanje na dan 31. 12.202</w:t>
      </w:r>
      <w:r w:rsidR="00600ACD">
        <w:t>4</w:t>
      </w:r>
      <w:r>
        <w:t>. se u odnosu na stanje 01.01.202</w:t>
      </w:r>
      <w:r w:rsidR="00BD19A3">
        <w:t>4</w:t>
      </w:r>
      <w:r>
        <w:t>. povećalo zbog nabave nove opreme</w:t>
      </w:r>
      <w:r w:rsidR="00BD19A3">
        <w:t>.</w:t>
      </w:r>
    </w:p>
    <w:p w14:paraId="3B7B50FA" w14:textId="28C7BD9E" w:rsidR="00BD5F8C" w:rsidRDefault="00BD5F8C" w:rsidP="003A5EBF">
      <w:pPr>
        <w:pStyle w:val="Bezproreda"/>
      </w:pPr>
      <w:r w:rsidRPr="00F7665F">
        <w:rPr>
          <w:u w:val="single"/>
        </w:rPr>
        <w:t>Bilješka broj</w:t>
      </w:r>
      <w:r w:rsidR="00F7665F" w:rsidRPr="00F7665F">
        <w:rPr>
          <w:u w:val="single"/>
        </w:rPr>
        <w:t xml:space="preserve"> </w:t>
      </w:r>
      <w:r w:rsidR="00BD19A3">
        <w:rPr>
          <w:u w:val="single"/>
        </w:rPr>
        <w:t>9</w:t>
      </w:r>
      <w:r>
        <w:t xml:space="preserve"> –Ispravak vrijednosti postrojenja i opreme – 02922- iznos je u odnosu na 01.01.202</w:t>
      </w:r>
      <w:r w:rsidR="00BD19A3">
        <w:t>4</w:t>
      </w:r>
      <w:r>
        <w:t xml:space="preserve">. znatno veći iz razloga što je Odlukom </w:t>
      </w:r>
      <w:r w:rsidR="0077642E">
        <w:t>Carnet</w:t>
      </w:r>
      <w:r>
        <w:t>a prenesena nam oprema koju smo dobili na korištenje i koja je djelomično otpisana.</w:t>
      </w:r>
    </w:p>
    <w:p w14:paraId="02FCB877" w14:textId="13E0C089" w:rsidR="00050EC0" w:rsidRDefault="00050EC0" w:rsidP="003A5EBF">
      <w:pPr>
        <w:pStyle w:val="Bezproreda"/>
      </w:pPr>
      <w:r w:rsidRPr="00050EC0">
        <w:rPr>
          <w:u w:val="single"/>
        </w:rPr>
        <w:t xml:space="preserve">Bilješka broj </w:t>
      </w:r>
      <w:r w:rsidR="00BD19A3">
        <w:rPr>
          <w:u w:val="single"/>
        </w:rPr>
        <w:t>10</w:t>
      </w:r>
      <w:r>
        <w:t xml:space="preserve">-Građevinski objekti u pripremi-051-iznos na ovoj poziciji </w:t>
      </w:r>
      <w:r w:rsidR="00BD19A3">
        <w:t xml:space="preserve">24.405,46 € </w:t>
      </w:r>
      <w:r>
        <w:t>odnosi se na prikupljenu dokumentaciju (projekti i dozvole) za dogradnju multifunkcionalnog prostora i školske knjižnice na sportskoj dvorani matične škole u Krapini.</w:t>
      </w:r>
      <w:r w:rsidR="00F7665F">
        <w:t xml:space="preserve"> </w:t>
      </w:r>
      <w:r w:rsidR="00BD5F8C">
        <w:t xml:space="preserve">Iznos je </w:t>
      </w:r>
      <w:r w:rsidR="00BD19A3">
        <w:t>smanjen</w:t>
      </w:r>
      <w:r w:rsidR="00BD5F8C">
        <w:t xml:space="preserve"> u odnosu na stanje 01.01.202</w:t>
      </w:r>
      <w:r w:rsidR="00BD19A3">
        <w:t>4</w:t>
      </w:r>
      <w:r w:rsidR="00BD5F8C">
        <w:t>. zbog knjiženja</w:t>
      </w:r>
      <w:r w:rsidR="00BD19A3">
        <w:t xml:space="preserve"> prijenosa u upotrebu</w:t>
      </w:r>
      <w:r w:rsidR="00BD5F8C">
        <w:t xml:space="preserve"> računa za postavljanje skele za radove na sanaciji tornjeva na krovištu matične škole u Krapini</w:t>
      </w:r>
      <w:r w:rsidR="00BD19A3">
        <w:t xml:space="preserve"> nakon što su svi radovi završeni</w:t>
      </w:r>
      <w:r w:rsidR="00BD5F8C">
        <w:t>.</w:t>
      </w:r>
    </w:p>
    <w:p w14:paraId="77652867" w14:textId="4C12AD29" w:rsidR="001F3715" w:rsidRDefault="001F3715" w:rsidP="003A5EBF">
      <w:pPr>
        <w:pStyle w:val="Bezproreda"/>
      </w:pPr>
      <w:r w:rsidRPr="001F3715">
        <w:rPr>
          <w:u w:val="single"/>
        </w:rPr>
        <w:t>Bilješka br</w:t>
      </w:r>
      <w:r w:rsidR="00306705">
        <w:rPr>
          <w:u w:val="single"/>
        </w:rPr>
        <w:t xml:space="preserve">oj </w:t>
      </w:r>
      <w:r w:rsidR="00BD19A3">
        <w:rPr>
          <w:u w:val="single"/>
        </w:rPr>
        <w:t>11</w:t>
      </w:r>
      <w:r>
        <w:t xml:space="preserve"> – Novac na računu kod tuzemnih poslovnih banaka- </w:t>
      </w:r>
      <w:r w:rsidR="005B5306">
        <w:t xml:space="preserve">1112- </w:t>
      </w:r>
      <w:r>
        <w:t>stanje na dan 31.12.202</w:t>
      </w:r>
      <w:r w:rsidR="00BD19A3">
        <w:t>4</w:t>
      </w:r>
      <w:r>
        <w:t xml:space="preserve">. </w:t>
      </w:r>
      <w:r w:rsidR="00BD19A3">
        <w:t xml:space="preserve">iznosi 19.197,50 € i </w:t>
      </w:r>
      <w:r>
        <w:t>u odnosu na 01.01.202</w:t>
      </w:r>
      <w:r w:rsidR="00BD19A3">
        <w:t>4</w:t>
      </w:r>
      <w:r>
        <w:t xml:space="preserve">. je </w:t>
      </w:r>
      <w:r w:rsidR="00BD19A3">
        <w:t>manji</w:t>
      </w:r>
      <w:r>
        <w:t xml:space="preserve"> zbog </w:t>
      </w:r>
      <w:r w:rsidR="00BD19A3">
        <w:t>manje</w:t>
      </w:r>
      <w:r>
        <w:t>g priljeva novčanih sredstava krajem prosinca, a biti će  utrošeni na otvorene obveze, odnosno na plaćanje računa koje se odnose na 202</w:t>
      </w:r>
      <w:r w:rsidR="00BD19A3">
        <w:t>4</w:t>
      </w:r>
      <w:r>
        <w:t>. godinu,</w:t>
      </w:r>
      <w:r w:rsidR="00664224">
        <w:t xml:space="preserve"> a</w:t>
      </w:r>
      <w:r>
        <w:t xml:space="preserve"> koji su dobiveni početkom siječnja 202</w:t>
      </w:r>
      <w:r w:rsidR="00BD19A3">
        <w:t>5</w:t>
      </w:r>
      <w:r>
        <w:t>.</w:t>
      </w:r>
      <w:r w:rsidR="00BD5F8C">
        <w:t xml:space="preserve"> </w:t>
      </w:r>
    </w:p>
    <w:p w14:paraId="3B4A909E" w14:textId="43A43C7F" w:rsidR="005B5306" w:rsidRDefault="005B5306" w:rsidP="003A5EBF">
      <w:pPr>
        <w:pStyle w:val="Bezproreda"/>
      </w:pPr>
      <w:r w:rsidRPr="005B5306">
        <w:rPr>
          <w:u w:val="single"/>
        </w:rPr>
        <w:t>Bilješka br</w:t>
      </w:r>
      <w:r w:rsidR="00306705">
        <w:rPr>
          <w:u w:val="single"/>
        </w:rPr>
        <w:t xml:space="preserve">oj </w:t>
      </w:r>
      <w:r w:rsidR="00F7665F">
        <w:rPr>
          <w:u w:val="single"/>
        </w:rPr>
        <w:t>1</w:t>
      </w:r>
      <w:r w:rsidR="00BD19A3">
        <w:rPr>
          <w:u w:val="single"/>
        </w:rPr>
        <w:t>2</w:t>
      </w:r>
      <w:r>
        <w:t xml:space="preserve"> – Ostala potraživanja-129-stanje na dan 31.12.202</w:t>
      </w:r>
      <w:r w:rsidR="00BD19A3">
        <w:t>4</w:t>
      </w:r>
      <w:r>
        <w:t xml:space="preserve">. </w:t>
      </w:r>
      <w:r w:rsidR="00BD19A3">
        <w:t xml:space="preserve">manje </w:t>
      </w:r>
      <w:r>
        <w:t>je u odnosu na stanje 01.01.202</w:t>
      </w:r>
      <w:r w:rsidR="00BD19A3">
        <w:t>4</w:t>
      </w:r>
      <w:r>
        <w:t>., provedeno</w:t>
      </w:r>
      <w:r w:rsidR="00BD5F8C">
        <w:t xml:space="preserve"> je </w:t>
      </w:r>
      <w:r>
        <w:t>zatvaranje potraživa</w:t>
      </w:r>
      <w:r w:rsidR="00BD5F8C">
        <w:t>nja</w:t>
      </w:r>
      <w:r w:rsidR="00BD19A3">
        <w:t xml:space="preserve"> (kompenzacija)</w:t>
      </w:r>
      <w:r w:rsidR="00BD5F8C">
        <w:t xml:space="preserve"> između </w:t>
      </w:r>
      <w:r w:rsidR="00F9729C">
        <w:t>MZOM</w:t>
      </w:r>
      <w:r w:rsidR="00F7665F">
        <w:t xml:space="preserve"> i HZZO-a za </w:t>
      </w:r>
      <w:r w:rsidR="00BD5F8C">
        <w:lastRenderedPageBreak/>
        <w:t xml:space="preserve">bolovanja </w:t>
      </w:r>
      <w:r>
        <w:t>na teret HZZO-a.</w:t>
      </w:r>
      <w:r w:rsidR="00BD19A3">
        <w:t xml:space="preserve"> </w:t>
      </w:r>
      <w:r w:rsidR="00C5725C">
        <w:t>I</w:t>
      </w:r>
      <w:r w:rsidR="00BD19A3">
        <w:t>znos se odnosi na plaćene predujmove za kotizaciju za stručni skup 40,00 €, za plaćene troškove prijevoza za razmjenu učenika 400,00 €</w:t>
      </w:r>
      <w:r w:rsidR="00C5725C">
        <w:t>,</w:t>
      </w:r>
      <w:r w:rsidR="00BD19A3">
        <w:t xml:space="preserve"> otvoreno bolovanje za studeni i prosinac 2024. </w:t>
      </w:r>
      <w:r w:rsidR="00C5725C">
        <w:t>236,53 € te neplaćene troškove potrošnje vode u iznajmljenom stanu PŠ D. Šemnica 26,54 €.</w:t>
      </w:r>
    </w:p>
    <w:p w14:paraId="4DD0F156" w14:textId="607B6FE6" w:rsidR="005B5306" w:rsidRDefault="005B5306" w:rsidP="00686E74">
      <w:pPr>
        <w:pStyle w:val="Bezproreda"/>
      </w:pPr>
      <w:r w:rsidRPr="005B5306">
        <w:rPr>
          <w:u w:val="single"/>
        </w:rPr>
        <w:t>Bilješka br</w:t>
      </w:r>
      <w:r w:rsidR="00306705">
        <w:rPr>
          <w:u w:val="single"/>
        </w:rPr>
        <w:t xml:space="preserve">oj </w:t>
      </w:r>
      <w:r w:rsidR="00F7665F">
        <w:rPr>
          <w:u w:val="single"/>
        </w:rPr>
        <w:t>1</w:t>
      </w:r>
      <w:r w:rsidR="00686E74">
        <w:rPr>
          <w:u w:val="single"/>
        </w:rPr>
        <w:t>3</w:t>
      </w:r>
      <w:r>
        <w:t xml:space="preserve"> – Potraživanja za </w:t>
      </w:r>
      <w:r w:rsidR="00686E74">
        <w:t>prihode poslovanja-16 odnosi se na potraživanja za iznajmljivanje školskog prostora, stanje na dan 31.12.2024. neznatno je veće u odnosu na 01.01.2024.</w:t>
      </w:r>
    </w:p>
    <w:p w14:paraId="119011C5" w14:textId="2788DF07" w:rsidR="00773E80" w:rsidRDefault="00773E80" w:rsidP="003A5EBF">
      <w:pPr>
        <w:pStyle w:val="Bezproreda"/>
      </w:pPr>
      <w:r w:rsidRPr="00773E80">
        <w:rPr>
          <w:u w:val="single"/>
        </w:rPr>
        <w:t>Bilješka br</w:t>
      </w:r>
      <w:r w:rsidR="00306705">
        <w:rPr>
          <w:u w:val="single"/>
        </w:rPr>
        <w:t xml:space="preserve">oj </w:t>
      </w:r>
      <w:r w:rsidR="00050EC0">
        <w:rPr>
          <w:u w:val="single"/>
        </w:rPr>
        <w:t>1</w:t>
      </w:r>
      <w:r w:rsidR="00686E74">
        <w:rPr>
          <w:u w:val="single"/>
        </w:rPr>
        <w:t>4</w:t>
      </w:r>
      <w:r>
        <w:t>-Potraživanja od prodaje proizvedene dugotrajne imovine-172-odnosi se na potraživanje od prodaje stana i manje je na dan 31.12.</w:t>
      </w:r>
      <w:r w:rsidR="00686E74">
        <w:t>2024.</w:t>
      </w:r>
      <w:r>
        <w:t xml:space="preserve"> u odnosu na 01.01.</w:t>
      </w:r>
      <w:r w:rsidR="00686E74">
        <w:t>2024.</w:t>
      </w:r>
      <w:r>
        <w:t xml:space="preserve"> zbog redovite otplate.</w:t>
      </w:r>
    </w:p>
    <w:p w14:paraId="53FCF7D3" w14:textId="320A5FF9" w:rsidR="00773E80" w:rsidRDefault="00773E80" w:rsidP="003A5EBF">
      <w:pPr>
        <w:pStyle w:val="Bezproreda"/>
      </w:pPr>
      <w:r w:rsidRPr="00773E80">
        <w:rPr>
          <w:u w:val="single"/>
        </w:rPr>
        <w:t>Bilješka br</w:t>
      </w:r>
      <w:r w:rsidR="00306705">
        <w:rPr>
          <w:u w:val="single"/>
        </w:rPr>
        <w:t xml:space="preserve">oj </w:t>
      </w:r>
      <w:r w:rsidR="00050EC0">
        <w:rPr>
          <w:u w:val="single"/>
        </w:rPr>
        <w:t>1</w:t>
      </w:r>
      <w:r w:rsidR="00686E74">
        <w:rPr>
          <w:u w:val="single"/>
        </w:rPr>
        <w:t>5</w:t>
      </w:r>
      <w:r>
        <w:t xml:space="preserve">-Kontinuitani rashodi budućih razdoblja- </w:t>
      </w:r>
      <w:r w:rsidR="00E4421C">
        <w:t>193-</w:t>
      </w:r>
      <w:r>
        <w:t xml:space="preserve">odnose se na </w:t>
      </w:r>
      <w:r w:rsidR="00E4650F">
        <w:t>plaću i naknade za prosinac 202</w:t>
      </w:r>
      <w:r w:rsidR="00686E74">
        <w:t>4</w:t>
      </w:r>
      <w:r>
        <w:t>. godine, stanje na dan 31.12</w:t>
      </w:r>
      <w:r w:rsidR="00686E74">
        <w:t>.2024</w:t>
      </w:r>
      <w:r>
        <w:t>. veće je nego na dan 01.01.</w:t>
      </w:r>
      <w:r w:rsidR="00686E74">
        <w:t>2024.</w:t>
      </w:r>
      <w:r>
        <w:t xml:space="preserve"> zbog povećanja osnovice </w:t>
      </w:r>
      <w:r w:rsidR="00686E74">
        <w:t xml:space="preserve">i koeficijenata </w:t>
      </w:r>
      <w:r>
        <w:t>za isplatu plaće.</w:t>
      </w:r>
    </w:p>
    <w:p w14:paraId="16D78AE0" w14:textId="38AE1A8C" w:rsidR="00E4421C" w:rsidRDefault="00E4421C" w:rsidP="003A5EBF">
      <w:pPr>
        <w:pStyle w:val="Bezproreda"/>
      </w:pPr>
      <w:r w:rsidRPr="00E4421C">
        <w:rPr>
          <w:u w:val="single"/>
        </w:rPr>
        <w:t>Bilješka broj 16</w:t>
      </w:r>
      <w:r>
        <w:t>-Obveze za zaposlene-231-stanje na dan 31.12.2024. veće je u odnosu na 01.01.2024. iz razloga što su veći koeficijenti i osnovica za isplatu plaće u odnosu na prethodno razdoblje.</w:t>
      </w:r>
    </w:p>
    <w:p w14:paraId="4C83CC43" w14:textId="29C17DD2" w:rsidR="00E4421C" w:rsidRDefault="00E4421C" w:rsidP="003A5EBF">
      <w:pPr>
        <w:pStyle w:val="Bezproreda"/>
      </w:pPr>
      <w:r w:rsidRPr="00E4421C">
        <w:rPr>
          <w:u w:val="single"/>
        </w:rPr>
        <w:t>Bilješka broj 17</w:t>
      </w:r>
      <w:r>
        <w:t>-Obveze za materijalne rashode-232-stanje na dan 31.12.2024. veće je u odnosu na 01.01.2024. iz razloga što je glavnina računa za rashode nastale u prosincu došla  tijekom siječnja 2025. pa nisu plaćeni u prosincu 2024.</w:t>
      </w:r>
    </w:p>
    <w:p w14:paraId="79164B3C" w14:textId="61C39554" w:rsidR="004A15E2" w:rsidRDefault="00306705" w:rsidP="003A5EBF">
      <w:pPr>
        <w:pStyle w:val="Bezproreda"/>
      </w:pPr>
      <w:r>
        <w:rPr>
          <w:u w:val="single"/>
        </w:rPr>
        <w:t xml:space="preserve">Bilješka broj </w:t>
      </w:r>
      <w:r w:rsidR="00050EC0">
        <w:rPr>
          <w:u w:val="single"/>
        </w:rPr>
        <w:t>1</w:t>
      </w:r>
      <w:r w:rsidR="00E4421C">
        <w:rPr>
          <w:u w:val="single"/>
        </w:rPr>
        <w:t>8</w:t>
      </w:r>
      <w:r w:rsidR="00773E80">
        <w:t xml:space="preserve">-Obveze za ostale financijske rashode-2343- Stanje na dan 31.12. </w:t>
      </w:r>
      <w:r w:rsidR="00E4421C">
        <w:t>veće</w:t>
      </w:r>
      <w:r w:rsidR="00773E80">
        <w:t xml:space="preserve"> je u odnosu na dan 01.01. iz razloga </w:t>
      </w:r>
      <w:r w:rsidR="00E4421C">
        <w:t>većih naknada banke.</w:t>
      </w:r>
    </w:p>
    <w:p w14:paraId="1096D30C" w14:textId="243E2725" w:rsidR="00E4421C" w:rsidRDefault="00E4421C" w:rsidP="003A5EBF">
      <w:pPr>
        <w:pStyle w:val="Bezproreda"/>
      </w:pPr>
      <w:r w:rsidRPr="00E4421C">
        <w:rPr>
          <w:u w:val="single"/>
        </w:rPr>
        <w:t>Bilješka broj 19</w:t>
      </w:r>
      <w:r>
        <w:t>-</w:t>
      </w:r>
      <w:r w:rsidR="00A5124E">
        <w:t>O</w:t>
      </w:r>
      <w:r>
        <w:t>bveze za naknade građanima i kućanstvima-237-stanje na dan 31.12.2024. iznosi 259,04 € i odnosi se na nabavu radnih bilježnica i radnih udžbenika za naknadno upisane učenike u našu školu, 01.01.2024. nije ostvareno.</w:t>
      </w:r>
    </w:p>
    <w:p w14:paraId="15041371" w14:textId="0EB1A07E" w:rsidR="00E4650F" w:rsidRDefault="00E4650F" w:rsidP="003A5EBF">
      <w:pPr>
        <w:pStyle w:val="Bezproreda"/>
      </w:pPr>
      <w:r w:rsidRPr="00F7665F">
        <w:rPr>
          <w:u w:val="single"/>
        </w:rPr>
        <w:t xml:space="preserve">Bilješka broj </w:t>
      </w:r>
      <w:r w:rsidR="00A5124E">
        <w:rPr>
          <w:u w:val="single"/>
        </w:rPr>
        <w:t>20</w:t>
      </w:r>
      <w:r>
        <w:t xml:space="preserve">– Ostale tekuće obveze 239- stanje na dan 31.12. znatno je </w:t>
      </w:r>
      <w:r w:rsidR="00A5124E">
        <w:t>manje</w:t>
      </w:r>
      <w:r>
        <w:t xml:space="preserve"> u odnosu na 01.01. zbog proveden</w:t>
      </w:r>
      <w:r w:rsidR="00A5124E">
        <w:t>e</w:t>
      </w:r>
      <w:r>
        <w:t xml:space="preserve"> kompenzacija između H</w:t>
      </w:r>
      <w:r w:rsidR="00F7665F">
        <w:t>ZZO</w:t>
      </w:r>
      <w:r>
        <w:t>-a i M</w:t>
      </w:r>
      <w:r w:rsidR="00F7665F">
        <w:t>ZO</w:t>
      </w:r>
      <w:r w:rsidR="00F9729C">
        <w:t>M</w:t>
      </w:r>
      <w:r w:rsidR="00A5124E">
        <w:t>.</w:t>
      </w:r>
      <w:r>
        <w:t xml:space="preserve"> </w:t>
      </w:r>
    </w:p>
    <w:p w14:paraId="7D493FA1" w14:textId="212E0044" w:rsidR="00A5124E" w:rsidRDefault="00A5124E" w:rsidP="003A5EBF">
      <w:pPr>
        <w:pStyle w:val="Bezproreda"/>
      </w:pPr>
      <w:r w:rsidRPr="00A5124E">
        <w:rPr>
          <w:u w:val="single"/>
        </w:rPr>
        <w:t>Bilješka broj 21</w:t>
      </w:r>
      <w:r>
        <w:t>-Obveze za nabavu nefinancijske imovine-stanje na dan 31.12.2024. odnosi se na nabavljene udžbenike za naknadno upisane učenike u našu školu, 01.01.2024. nije ostvareno.</w:t>
      </w:r>
    </w:p>
    <w:p w14:paraId="5AC2E027" w14:textId="0848AA2C" w:rsidR="00A5124E" w:rsidRDefault="00A5124E" w:rsidP="003A5EBF">
      <w:pPr>
        <w:pStyle w:val="Bezproreda"/>
      </w:pPr>
      <w:r w:rsidRPr="00A5124E">
        <w:rPr>
          <w:u w:val="single"/>
        </w:rPr>
        <w:t>Bilješka broj 22</w:t>
      </w:r>
      <w:r>
        <w:t>-Vlastiti izvori iz proračuna-stanje na dan 31.12.2024. znatno je povećano u odnosu na stanje 01.01.2024. iz razloga što je imovina koja je dobivena na korištenje i vođena u izvanbilančnoj evidenciji prenesena školi te zbog izvršenih radova na sanaciji krovnih tornjeva i zamjeni unutarnje stolarije.</w:t>
      </w:r>
    </w:p>
    <w:p w14:paraId="06B6FE6C" w14:textId="08020C56" w:rsidR="00773E80" w:rsidRDefault="004A15E2" w:rsidP="003A5EBF">
      <w:pPr>
        <w:pStyle w:val="Bezproreda"/>
      </w:pPr>
      <w:r w:rsidRPr="009A0026">
        <w:rPr>
          <w:u w:val="single"/>
        </w:rPr>
        <w:t>Bilješka br</w:t>
      </w:r>
      <w:r w:rsidR="00306705">
        <w:rPr>
          <w:u w:val="single"/>
        </w:rPr>
        <w:t xml:space="preserve">oj </w:t>
      </w:r>
      <w:r w:rsidR="00A5124E">
        <w:rPr>
          <w:u w:val="single"/>
        </w:rPr>
        <w:t>23</w:t>
      </w:r>
      <w:r>
        <w:t>-višak/manjak prihoda-922-</w:t>
      </w:r>
      <w:r w:rsidR="00A5124E">
        <w:t xml:space="preserve">92222-stanje na dan 31.12.2024. znatno je manje u odnosu </w:t>
      </w:r>
      <w:r w:rsidR="00D45046">
        <w:t>na dan 01.01.2024. iz razloga što su u 2023. godini iz Državnog proračuna uplaćena sredstva za radove i sanaciju južnog krovnog tornja a radovi su završeni i plaćeni u 2024.</w:t>
      </w:r>
    </w:p>
    <w:p w14:paraId="0CB9DC75" w14:textId="141BBC87" w:rsidR="00E4650F" w:rsidRDefault="00E4650F" w:rsidP="003A5EBF">
      <w:pPr>
        <w:pStyle w:val="Bezproreda"/>
      </w:pPr>
      <w:r w:rsidRPr="009A49D1">
        <w:rPr>
          <w:u w:val="single"/>
        </w:rPr>
        <w:t>Bilješka broj</w:t>
      </w:r>
      <w:r w:rsidR="009A49D1" w:rsidRPr="009A49D1">
        <w:rPr>
          <w:u w:val="single"/>
        </w:rPr>
        <w:t xml:space="preserve"> </w:t>
      </w:r>
      <w:r w:rsidR="00D45046">
        <w:rPr>
          <w:u w:val="single"/>
        </w:rPr>
        <w:t>24</w:t>
      </w:r>
      <w:r w:rsidR="009A49D1">
        <w:t>-</w:t>
      </w:r>
      <w:r>
        <w:t xml:space="preserve"> Obračunati prihodi poslovanja-96- </w:t>
      </w:r>
      <w:r w:rsidR="00D45046">
        <w:t>neznatno su veći u odnosu na 01.01.2024.,i</w:t>
      </w:r>
      <w:r w:rsidR="004A479B">
        <w:t>znos na dan 31.12.202</w:t>
      </w:r>
      <w:r w:rsidR="00D45046">
        <w:t>4</w:t>
      </w:r>
      <w:r w:rsidR="004A479B">
        <w:t>. odnosi se na potraživanja za iznajmljivanje školskog prostora.</w:t>
      </w:r>
    </w:p>
    <w:p w14:paraId="14D02A78" w14:textId="6453AAD5" w:rsidR="009A0026" w:rsidRDefault="00306705" w:rsidP="003A5EBF">
      <w:pPr>
        <w:pStyle w:val="Bezproreda"/>
      </w:pPr>
      <w:r>
        <w:rPr>
          <w:u w:val="single"/>
        </w:rPr>
        <w:t xml:space="preserve">Bilješka broj </w:t>
      </w:r>
      <w:r w:rsidR="00D45046">
        <w:rPr>
          <w:u w:val="single"/>
        </w:rPr>
        <w:t>25</w:t>
      </w:r>
      <w:r w:rsidR="009A0026">
        <w:t>- Izvanbilančni zapisi-991,996- stanje na dan 31.12.</w:t>
      </w:r>
      <w:r w:rsidR="0048705B">
        <w:t>2024.</w:t>
      </w:r>
      <w:r w:rsidR="009A0026">
        <w:t xml:space="preserve"> manje je u odnosu na dan 01.01.</w:t>
      </w:r>
      <w:r w:rsidR="0048705B">
        <w:t>2024.</w:t>
      </w:r>
      <w:r w:rsidR="009A0026">
        <w:t xml:space="preserve"> iz razloga što </w:t>
      </w:r>
      <w:r w:rsidR="00B038A9">
        <w:t xml:space="preserve">je </w:t>
      </w:r>
      <w:r w:rsidR="0077642E">
        <w:t>Carnet</w:t>
      </w:r>
      <w:r w:rsidR="00B038A9">
        <w:t xml:space="preserve"> O</w:t>
      </w:r>
      <w:r w:rsidR="004A479B">
        <w:t xml:space="preserve">dlukom prenio u naše vlasništvo opremu dobivenu </w:t>
      </w:r>
      <w:r w:rsidR="00D45046">
        <w:t xml:space="preserve">na korištenje u 2023. godini u sklopu II. faze projekta-„e-škole: cjelovita informatizacija procesa poslovanja škola i nastavnih procesa u svrhu stvaranja digitalno zrelih škola za 21. stoljeće“. </w:t>
      </w:r>
      <w:r w:rsidR="004D35DA">
        <w:t xml:space="preserve">Također, </w:t>
      </w:r>
      <w:r w:rsidR="00257107">
        <w:t>u izvanbilančnoj evidenciji</w:t>
      </w:r>
      <w:r w:rsidR="004D35DA">
        <w:t xml:space="preserve"> </w:t>
      </w:r>
      <w:r w:rsidR="0048705B">
        <w:t xml:space="preserve">knjižen je </w:t>
      </w:r>
      <w:r w:rsidR="004D35DA">
        <w:t>fotokopirni aparat dobiven na koriš</w:t>
      </w:r>
      <w:r w:rsidR="00946809">
        <w:t>tenje od dobavljača Copia Forum</w:t>
      </w:r>
      <w:r w:rsidR="00A94E81">
        <w:t>.</w:t>
      </w:r>
    </w:p>
    <w:p w14:paraId="6E0C08D4" w14:textId="08D309DC" w:rsidR="0048705B" w:rsidRDefault="0048705B" w:rsidP="003A5EBF">
      <w:pPr>
        <w:pStyle w:val="Bezproreda"/>
      </w:pPr>
      <w:r>
        <w:t>Škola je zaprimila dvije bjanko zadužnice za osiguranje da će eventualni nedostaci na izvršenim radovima biti otklonjeni u jamstvenom roku te je u izvanbilančnoj evidenciji to knjiženo kao moguća imovina (</w:t>
      </w:r>
      <w:r w:rsidR="00F9729C">
        <w:t>T</w:t>
      </w:r>
      <w:r>
        <w:t xml:space="preserve">ablica 1). </w:t>
      </w:r>
    </w:p>
    <w:p w14:paraId="0EC01C39" w14:textId="1F8B7F62" w:rsidR="0048705B" w:rsidRDefault="0048705B" w:rsidP="0048705B">
      <w:pPr>
        <w:pStyle w:val="Bezproreda"/>
      </w:pPr>
      <w:r>
        <w:t>Škola ima dva sudska postupka u tijeku zbog radnog spora u kojima je tuženik te su u izvanbilančnoj evidenciji knjižene moguće obveze (</w:t>
      </w:r>
      <w:r w:rsidR="00F9729C">
        <w:t>T</w:t>
      </w:r>
      <w:r>
        <w:t xml:space="preserve">ablica </w:t>
      </w:r>
      <w:r w:rsidR="00F9729C">
        <w:t>3</w:t>
      </w:r>
      <w:r>
        <w:t>).</w:t>
      </w:r>
    </w:p>
    <w:p w14:paraId="02ABAAB2" w14:textId="77777777" w:rsidR="0048705B" w:rsidRDefault="0048705B" w:rsidP="003A5EBF">
      <w:pPr>
        <w:pStyle w:val="Bezproreda"/>
      </w:pPr>
    </w:p>
    <w:p w14:paraId="6A363295" w14:textId="049E1A62" w:rsidR="00E573C3" w:rsidRDefault="00E573C3" w:rsidP="003A5EBF">
      <w:pPr>
        <w:pStyle w:val="Bezproreda"/>
      </w:pPr>
      <w:r>
        <w:t>Obvezni analitički podaci:</w:t>
      </w:r>
    </w:p>
    <w:p w14:paraId="6BFB7180" w14:textId="720D8AF6" w:rsidR="004D35DA" w:rsidRDefault="004D35DA" w:rsidP="003A5EBF">
      <w:pPr>
        <w:pStyle w:val="Bezproreda"/>
      </w:pPr>
      <w:r w:rsidRPr="00F71557">
        <w:rPr>
          <w:u w:val="single"/>
        </w:rPr>
        <w:t>Bilješka br</w:t>
      </w:r>
      <w:r w:rsidR="00306705">
        <w:rPr>
          <w:u w:val="single"/>
        </w:rPr>
        <w:t xml:space="preserve">oj </w:t>
      </w:r>
      <w:r w:rsidR="00B038A9">
        <w:rPr>
          <w:u w:val="single"/>
        </w:rPr>
        <w:t>2</w:t>
      </w:r>
      <w:r w:rsidR="0048705B">
        <w:rPr>
          <w:u w:val="single"/>
        </w:rPr>
        <w:t>6</w:t>
      </w:r>
      <w:r>
        <w:t xml:space="preserve">-Potraživanja za prihode poslovanja-dospjela-dio 16 D- </w:t>
      </w:r>
      <w:r w:rsidR="004A479B">
        <w:t xml:space="preserve">stanje na dan 31.12. </w:t>
      </w:r>
      <w:r w:rsidR="0048705B">
        <w:t>veće</w:t>
      </w:r>
      <w:r w:rsidR="004A479B">
        <w:t xml:space="preserve"> je</w:t>
      </w:r>
      <w:r w:rsidR="0048705B">
        <w:t xml:space="preserve"> u odnosu na 01.01.2024.</w:t>
      </w:r>
      <w:r w:rsidR="004A479B">
        <w:t>,  odnosi se na dva nepravovremeno plaćena računa za iznajmljivanje školskog prostora.</w:t>
      </w:r>
    </w:p>
    <w:p w14:paraId="3F5C7B01" w14:textId="0B0BCC74" w:rsidR="004D35DA" w:rsidRDefault="004D35DA" w:rsidP="003A5EBF">
      <w:pPr>
        <w:pStyle w:val="Bezproreda"/>
      </w:pPr>
      <w:r w:rsidRPr="00F71557">
        <w:rPr>
          <w:u w:val="single"/>
        </w:rPr>
        <w:lastRenderedPageBreak/>
        <w:t>Bilješka br</w:t>
      </w:r>
      <w:r w:rsidR="00306705">
        <w:rPr>
          <w:u w:val="single"/>
        </w:rPr>
        <w:t xml:space="preserve">oj </w:t>
      </w:r>
      <w:r w:rsidR="00B038A9">
        <w:rPr>
          <w:u w:val="single"/>
        </w:rPr>
        <w:t>2</w:t>
      </w:r>
      <w:r w:rsidR="00A37330">
        <w:rPr>
          <w:u w:val="single"/>
        </w:rPr>
        <w:t>7</w:t>
      </w:r>
      <w:r>
        <w:t>-Potraživanja za prihode poslovanja-nedospjela- dio 16 N- stanje na dan 31.12</w:t>
      </w:r>
      <w:r w:rsidR="00A37330">
        <w:t>.2024</w:t>
      </w:r>
      <w:r>
        <w:t xml:space="preserve">. </w:t>
      </w:r>
      <w:r w:rsidR="004A479B">
        <w:t>manje</w:t>
      </w:r>
      <w:r>
        <w:t xml:space="preserve"> je u odnosu na dan 01.01.</w:t>
      </w:r>
      <w:r w:rsidR="00A37330">
        <w:t>2024.</w:t>
      </w:r>
      <w:r>
        <w:t xml:space="preserve">, odnosi se na račune izdane </w:t>
      </w:r>
      <w:r w:rsidR="00B038A9">
        <w:t>31.</w:t>
      </w:r>
      <w:r>
        <w:t xml:space="preserve"> prosinca za iznajmljivanje š</w:t>
      </w:r>
      <w:r w:rsidR="00F71557">
        <w:t>kolskog prostora; dospijeće im je u siječnju 202</w:t>
      </w:r>
      <w:r w:rsidR="00A37330">
        <w:t>5</w:t>
      </w:r>
      <w:r w:rsidR="00F71557">
        <w:t>.</w:t>
      </w:r>
    </w:p>
    <w:p w14:paraId="32F52409" w14:textId="030680F4" w:rsidR="00F71557" w:rsidRDefault="00306705" w:rsidP="003A5EBF">
      <w:pPr>
        <w:pStyle w:val="Bezproreda"/>
      </w:pPr>
      <w:r>
        <w:rPr>
          <w:u w:val="single"/>
        </w:rPr>
        <w:t xml:space="preserve">Bilješka broj </w:t>
      </w:r>
      <w:r w:rsidR="00B038A9">
        <w:rPr>
          <w:u w:val="single"/>
        </w:rPr>
        <w:t>2</w:t>
      </w:r>
      <w:r w:rsidR="00A37330">
        <w:rPr>
          <w:u w:val="single"/>
        </w:rPr>
        <w:t>8</w:t>
      </w:r>
      <w:r w:rsidR="00F71557">
        <w:t>-Potraživanja od prodaje nefinancijske imovine-nedospjela- dio 17 N- stanje na dan 31.12. manje je u odnosu na 01.01., rate za kupljeni stan se redovito otplaćuju.</w:t>
      </w:r>
    </w:p>
    <w:p w14:paraId="5D0CB0A4" w14:textId="55FEC0E8" w:rsidR="00A37330" w:rsidRDefault="00A37330" w:rsidP="003A5EBF">
      <w:pPr>
        <w:pStyle w:val="Bezproreda"/>
      </w:pPr>
      <w:r w:rsidRPr="00A37330">
        <w:rPr>
          <w:u w:val="single"/>
        </w:rPr>
        <w:t>Bilješka broj 29</w:t>
      </w:r>
      <w:r>
        <w:t>-Potraživanja za naknade koje se refundiraju-12911-stanje na dan 31.12.2024. znatno je manje u odnosu na 01.01.2024. iz razloga što je tijekom 2024. provedena kompenzacija za bolovanje na teret HZZO.</w:t>
      </w:r>
    </w:p>
    <w:p w14:paraId="5B2DDE87" w14:textId="01A5B1E1" w:rsidR="00A37330" w:rsidRDefault="00A37330" w:rsidP="003A5EBF">
      <w:pPr>
        <w:pStyle w:val="Bezproreda"/>
      </w:pPr>
      <w:r w:rsidRPr="00A37330">
        <w:rPr>
          <w:u w:val="single"/>
        </w:rPr>
        <w:t xml:space="preserve">Bilješka broj </w:t>
      </w:r>
      <w:r>
        <w:rPr>
          <w:u w:val="single"/>
        </w:rPr>
        <w:t>30</w:t>
      </w:r>
      <w:r>
        <w:t>-Potraživanja za predujmove- 01.01.2024. nije ostvareno, stanje na dan 31.12.2024. odnosi se na plaćenu kotizaciju za stručni skup 40,00 eura te na troškove prijevoza učenika u projektu razmjene učenika naše škole i škole iz Njemačke 400,00 eura.</w:t>
      </w:r>
    </w:p>
    <w:p w14:paraId="29ECEA4B" w14:textId="463FF5A3" w:rsidR="004A479B" w:rsidRDefault="004A479B" w:rsidP="003A5EBF">
      <w:pPr>
        <w:pStyle w:val="Bezproreda"/>
      </w:pPr>
      <w:r w:rsidRPr="00B038A9">
        <w:rPr>
          <w:u w:val="single"/>
        </w:rPr>
        <w:t xml:space="preserve">Bilješka broj </w:t>
      </w:r>
      <w:r w:rsidR="00A37330">
        <w:rPr>
          <w:u w:val="single"/>
        </w:rPr>
        <w:t>31</w:t>
      </w:r>
      <w:r>
        <w:t>–Obveze za rashode poslovanja dospjele-</w:t>
      </w:r>
      <w:r w:rsidR="00A37330">
        <w:t>dio 23 D-31.12.</w:t>
      </w:r>
      <w:r w:rsidR="00C629BE">
        <w:t>2024.</w:t>
      </w:r>
      <w:r>
        <w:t xml:space="preserve"> nije ostvareno, stanje na dan </w:t>
      </w:r>
      <w:r w:rsidR="00A37330">
        <w:t>0</w:t>
      </w:r>
      <w:r>
        <w:t>1.</w:t>
      </w:r>
      <w:r w:rsidR="00A37330">
        <w:t>0</w:t>
      </w:r>
      <w:r>
        <w:t>1</w:t>
      </w:r>
      <w:r w:rsidR="00A37330">
        <w:t>.</w:t>
      </w:r>
      <w:r>
        <w:t>2</w:t>
      </w:r>
      <w:r w:rsidR="00A37330">
        <w:t>024</w:t>
      </w:r>
      <w:r>
        <w:t>. odnosi se na račun</w:t>
      </w:r>
      <w:r w:rsidR="00E573C3">
        <w:t xml:space="preserve"> iz 2023. </w:t>
      </w:r>
      <w:r>
        <w:t>koji je zaprimljen putem sustava eRačuna 2.siječnja 2024.</w:t>
      </w:r>
      <w:r w:rsidR="00C629BE">
        <w:t>,</w:t>
      </w:r>
      <w:r>
        <w:t xml:space="preserve"> a dospijeće plaćanja mu je bilo 13. prosinca.</w:t>
      </w:r>
    </w:p>
    <w:p w14:paraId="52DDF894" w14:textId="50729301" w:rsidR="0073255A" w:rsidRDefault="0073255A" w:rsidP="003A5EBF">
      <w:pPr>
        <w:pStyle w:val="Bezproreda"/>
      </w:pPr>
      <w:r w:rsidRPr="00B038A9">
        <w:rPr>
          <w:u w:val="single"/>
        </w:rPr>
        <w:t>Bilješka broj</w:t>
      </w:r>
      <w:r w:rsidR="00B038A9" w:rsidRPr="00B038A9">
        <w:rPr>
          <w:u w:val="single"/>
        </w:rPr>
        <w:t xml:space="preserve"> </w:t>
      </w:r>
      <w:r w:rsidR="00A37330">
        <w:rPr>
          <w:u w:val="single"/>
        </w:rPr>
        <w:t>3</w:t>
      </w:r>
      <w:r w:rsidR="00B038A9" w:rsidRPr="00B038A9">
        <w:rPr>
          <w:u w:val="single"/>
        </w:rPr>
        <w:t>2</w:t>
      </w:r>
      <w:r>
        <w:t xml:space="preserve"> – obveze za r</w:t>
      </w:r>
      <w:r w:rsidR="00B038A9">
        <w:t>ashode poslovanja-</w:t>
      </w:r>
      <w:r>
        <w:t>nedospjele</w:t>
      </w:r>
      <w:r w:rsidR="00A37330">
        <w:t>-dio 23 N-</w:t>
      </w:r>
      <w:r>
        <w:t xml:space="preserve"> stanje na dan 31.12.</w:t>
      </w:r>
      <w:r w:rsidR="00C629BE">
        <w:t xml:space="preserve">2024. </w:t>
      </w:r>
      <w:r>
        <w:t>veće u odnosu na 01.01.</w:t>
      </w:r>
      <w:r w:rsidR="00C629BE">
        <w:t>2024.</w:t>
      </w:r>
      <w:r>
        <w:t xml:space="preserve"> , odnosi se na plaću za prosinac te račune za rashode poslovanja koji su stigl</w:t>
      </w:r>
      <w:r w:rsidR="00E573C3">
        <w:t>i</w:t>
      </w:r>
      <w:r>
        <w:t xml:space="preserve"> u siječnju 202</w:t>
      </w:r>
      <w:r w:rsidR="00A37330">
        <w:t>5</w:t>
      </w:r>
      <w:r>
        <w:t>.</w:t>
      </w:r>
    </w:p>
    <w:p w14:paraId="17809721" w14:textId="338FBF1F" w:rsidR="00A37330" w:rsidRDefault="00A37330" w:rsidP="003A5EBF">
      <w:pPr>
        <w:pStyle w:val="Bezproreda"/>
      </w:pPr>
      <w:r w:rsidRPr="00A37330">
        <w:rPr>
          <w:u w:val="single"/>
        </w:rPr>
        <w:t>Bilješka broj 33</w:t>
      </w:r>
      <w:r>
        <w:t>-Obveze za nabavu nefinancijske imovine-nedospjele-dio 24 N- stanje na dan 31.12.2024. odnosi se na nabavu udžbenika za naknadno upisane učenike u našu školu, 01.01.2024. nije ostvareno.</w:t>
      </w:r>
    </w:p>
    <w:p w14:paraId="6FB4B581" w14:textId="4E50E5C2" w:rsidR="0073255A" w:rsidRDefault="0073255A" w:rsidP="0073255A">
      <w:pPr>
        <w:pStyle w:val="Bezproreda"/>
      </w:pPr>
      <w:r w:rsidRPr="003F02D0">
        <w:rPr>
          <w:u w:val="single"/>
        </w:rPr>
        <w:t>Bilješka br</w:t>
      </w:r>
      <w:r>
        <w:rPr>
          <w:u w:val="single"/>
        </w:rPr>
        <w:t xml:space="preserve">oj </w:t>
      </w:r>
      <w:r w:rsidR="00A37330">
        <w:rPr>
          <w:u w:val="single"/>
        </w:rPr>
        <w:t>34</w:t>
      </w:r>
      <w:r>
        <w:t>-obveze za naplaćene tuđe prihode-23955-stanje na dan 31. 12.</w:t>
      </w:r>
      <w:r w:rsidR="002714F6">
        <w:t>2024.</w:t>
      </w:r>
      <w:r>
        <w:t xml:space="preserve"> manje je u odnosu na 01.01.</w:t>
      </w:r>
      <w:r w:rsidR="002714F6">
        <w:t>2024.</w:t>
      </w:r>
      <w:r>
        <w:t xml:space="preserve"> iz razloga što je izvršena uplata 65% prihoda od prodanih stanova u Državni proračun.</w:t>
      </w:r>
    </w:p>
    <w:p w14:paraId="1FEC0683" w14:textId="64EB3A0B" w:rsidR="0073255A" w:rsidRDefault="0073255A" w:rsidP="0073255A">
      <w:pPr>
        <w:pStyle w:val="Bezproreda"/>
      </w:pPr>
      <w:r w:rsidRPr="003F02D0">
        <w:rPr>
          <w:u w:val="single"/>
        </w:rPr>
        <w:t>Bilješka br</w:t>
      </w:r>
      <w:r>
        <w:rPr>
          <w:u w:val="single"/>
        </w:rPr>
        <w:t xml:space="preserve">oj </w:t>
      </w:r>
      <w:r w:rsidR="00A92015">
        <w:rPr>
          <w:u w:val="single"/>
        </w:rPr>
        <w:t>35</w:t>
      </w:r>
      <w:r>
        <w:t>-Ostale nespomenute obveze</w:t>
      </w:r>
      <w:r w:rsidR="00E573C3">
        <w:t xml:space="preserve">-23958 stanje na dan </w:t>
      </w:r>
      <w:r w:rsidR="00A92015">
        <w:t>31.12.2024</w:t>
      </w:r>
      <w:r w:rsidR="00E573C3">
        <w:t xml:space="preserve">. </w:t>
      </w:r>
      <w:r w:rsidR="00A92015">
        <w:t>manje</w:t>
      </w:r>
      <w:r>
        <w:t xml:space="preserve"> u odnosu na  stanje na dan </w:t>
      </w:r>
      <w:r w:rsidR="00A92015">
        <w:t>01.01.2024. iz razloga što je provedena kompenzacija za troškove poslovanja na teret HZZO.</w:t>
      </w:r>
    </w:p>
    <w:p w14:paraId="4CB70CBC" w14:textId="77777777" w:rsidR="003F02D0" w:rsidRDefault="003F02D0" w:rsidP="003A5EBF">
      <w:pPr>
        <w:pStyle w:val="Bezproreda"/>
      </w:pPr>
    </w:p>
    <w:p w14:paraId="632C6DBF" w14:textId="77777777" w:rsidR="003F02D0" w:rsidRDefault="003F02D0" w:rsidP="003F02D0">
      <w:r>
        <w:t>Promjene na ostalim pozicijama Obrasca Bilance su neznatne i nemaju značajnijeg  utjecaja na Bilancu.</w:t>
      </w:r>
    </w:p>
    <w:p w14:paraId="723B63BF" w14:textId="77777777" w:rsidR="00F06302" w:rsidRDefault="00F06302" w:rsidP="003A5EBF">
      <w:pPr>
        <w:pStyle w:val="Bezproreda"/>
      </w:pPr>
    </w:p>
    <w:p w14:paraId="6B6E79D0" w14:textId="77777777" w:rsidR="00DF11AC" w:rsidRDefault="00DF11AC" w:rsidP="00DF11AC">
      <w:pPr>
        <w:pStyle w:val="Odlomakpopisa"/>
        <w:numPr>
          <w:ilvl w:val="0"/>
          <w:numId w:val="1"/>
        </w:numPr>
        <w:rPr>
          <w:b/>
        </w:rPr>
      </w:pPr>
      <w:r w:rsidRPr="00DF11AC">
        <w:rPr>
          <w:b/>
        </w:rPr>
        <w:t>Bilješke uz Izvještaj o prihodima i rashodima, primicima i izdacima</w:t>
      </w:r>
    </w:p>
    <w:p w14:paraId="23C332D5" w14:textId="6E292F89" w:rsidR="0025482C" w:rsidRPr="0025482C" w:rsidRDefault="0025482C" w:rsidP="003A5EBF">
      <w:pPr>
        <w:pStyle w:val="Bezproreda"/>
      </w:pPr>
      <w:r>
        <w:rPr>
          <w:u w:val="single"/>
        </w:rPr>
        <w:t>Bilješka broj 36</w:t>
      </w:r>
      <w:r>
        <w:t>-Tekuće pomoći proračunskim korisnicima iz proračuna koji im nije nadležan-6361-</w:t>
      </w:r>
      <w:r w:rsidR="000E6397">
        <w:t>u tekućem izvještajnom razdoblju ostvaren je znatno veći iznos nego u prethodnom iz razloga što su povećani koeficijenti i osnovica za isplatu plaće, ostvareno je novo pravo iz TKU-isplata uskrsnice.</w:t>
      </w:r>
    </w:p>
    <w:p w14:paraId="38E34E5D" w14:textId="5D5AD3ED" w:rsidR="0099192A" w:rsidRDefault="00DA6F99" w:rsidP="003A5EBF">
      <w:pPr>
        <w:pStyle w:val="Bezproreda"/>
      </w:pPr>
      <w:r w:rsidRPr="00B568CE">
        <w:rPr>
          <w:u w:val="single"/>
        </w:rPr>
        <w:t xml:space="preserve">Bilješka broj </w:t>
      </w:r>
      <w:r w:rsidR="002714F6">
        <w:rPr>
          <w:u w:val="single"/>
        </w:rPr>
        <w:t>3</w:t>
      </w:r>
      <w:r w:rsidR="000E6397">
        <w:rPr>
          <w:u w:val="single"/>
        </w:rPr>
        <w:t>7</w:t>
      </w:r>
      <w:r w:rsidR="00077062">
        <w:t xml:space="preserve"> – </w:t>
      </w:r>
      <w:r w:rsidR="00F34989">
        <w:t>Kapitalne pomoći proračunskim korisnicima iz proračuna koji im nije</w:t>
      </w:r>
      <w:r w:rsidR="00E573C3">
        <w:t xml:space="preserve"> nadležan-6362-u tekućem izvještajnom razdoblju</w:t>
      </w:r>
      <w:r w:rsidR="000E6397">
        <w:t xml:space="preserve"> ostvaren je znatno veći iznos u odnosu na prethodno izvještajno razdoblje,</w:t>
      </w:r>
      <w:r w:rsidR="00E573C3">
        <w:t xml:space="preserve"> </w:t>
      </w:r>
      <w:r w:rsidR="00F34989">
        <w:t>dobivena su sredstva</w:t>
      </w:r>
      <w:r w:rsidR="00E573C3">
        <w:t xml:space="preserve"> na natječaju</w:t>
      </w:r>
      <w:r w:rsidR="00F34989">
        <w:t xml:space="preserve"> Ministarstva kulture za izmjenu dotrajale unutarnje stolarije, </w:t>
      </w:r>
      <w:r w:rsidR="00E573C3">
        <w:t>te za radove na sanaciji tornj</w:t>
      </w:r>
      <w:r w:rsidR="000E6397">
        <w:t>a i središnjeg limenog pokrova</w:t>
      </w:r>
      <w:r w:rsidR="00E573C3">
        <w:t xml:space="preserve"> na zgradi matične škole u Krapin</w:t>
      </w:r>
      <w:r w:rsidR="00B038A9">
        <w:t>i</w:t>
      </w:r>
      <w:r w:rsidR="00E573C3">
        <w:t xml:space="preserve">. </w:t>
      </w:r>
    </w:p>
    <w:p w14:paraId="03422074" w14:textId="55714C50" w:rsidR="007C18C1" w:rsidRDefault="007C18C1" w:rsidP="003A5EBF">
      <w:pPr>
        <w:pStyle w:val="Bezproreda"/>
      </w:pPr>
      <w:r w:rsidRPr="00B568CE">
        <w:rPr>
          <w:u w:val="single"/>
        </w:rPr>
        <w:t xml:space="preserve">Bilješka broj </w:t>
      </w:r>
      <w:r w:rsidR="000E6397">
        <w:rPr>
          <w:u w:val="single"/>
        </w:rPr>
        <w:t>3</w:t>
      </w:r>
      <w:r w:rsidR="00B038A9">
        <w:rPr>
          <w:u w:val="single"/>
        </w:rPr>
        <w:t>8</w:t>
      </w:r>
      <w:r w:rsidR="00B568CE">
        <w:t xml:space="preserve"> </w:t>
      </w:r>
      <w:r w:rsidR="00F34989">
        <w:t>–</w:t>
      </w:r>
      <w:r w:rsidR="00B568CE">
        <w:t xml:space="preserve"> </w:t>
      </w:r>
      <w:r w:rsidR="00F34989">
        <w:t xml:space="preserve">Kamate na oročena sredstva i depozite po viđenju-6413- u prethodnoj godini iznos </w:t>
      </w:r>
      <w:r w:rsidR="00923EFF">
        <w:t xml:space="preserve">je iznosio </w:t>
      </w:r>
      <w:r w:rsidR="000E6397">
        <w:t>9,81</w:t>
      </w:r>
      <w:r w:rsidR="00923EFF">
        <w:t xml:space="preserve"> €, dok u tekućem izvještajnom razdoblju iznosi </w:t>
      </w:r>
      <w:r w:rsidR="000E6397">
        <w:t>15,83</w:t>
      </w:r>
      <w:r w:rsidR="00923EFF">
        <w:t xml:space="preserve"> € iz razloga što je banka povisila kamate na saldo na žiro računu.</w:t>
      </w:r>
    </w:p>
    <w:p w14:paraId="2B7F0E4D" w14:textId="7DB2453C" w:rsidR="009E5DCA" w:rsidRDefault="000B6E3D" w:rsidP="003A5EBF">
      <w:pPr>
        <w:pStyle w:val="Bezproreda"/>
      </w:pPr>
      <w:r w:rsidRPr="00B568CE">
        <w:rPr>
          <w:u w:val="single"/>
        </w:rPr>
        <w:t xml:space="preserve">Bilješka broj </w:t>
      </w:r>
      <w:r w:rsidR="000E6397">
        <w:rPr>
          <w:u w:val="single"/>
        </w:rPr>
        <w:t>3</w:t>
      </w:r>
      <w:r w:rsidR="00B038A9">
        <w:rPr>
          <w:u w:val="single"/>
        </w:rPr>
        <w:t>9</w:t>
      </w:r>
      <w:r w:rsidR="009D08C4">
        <w:t xml:space="preserve"> – </w:t>
      </w:r>
      <w:r w:rsidR="007B0BA8">
        <w:t xml:space="preserve">Ostali nespomenuti prihodi – 6526- u tekućem izvještajnom razdoblju ostvareni iznos je </w:t>
      </w:r>
      <w:r w:rsidR="00923EFF">
        <w:t>manj</w:t>
      </w:r>
      <w:r w:rsidR="007B0BA8">
        <w:t xml:space="preserve">i nego u prethodnoj godini zbog toga što </w:t>
      </w:r>
      <w:r w:rsidR="000E6397">
        <w:t xml:space="preserve">se u 2023. godini još uplaćivala školska kuhinja od strane roditelja na račun škole za prosinac 2022. godine. Ostvareni iznos u 2024. odnosi se na </w:t>
      </w:r>
      <w:r w:rsidR="00923EFF">
        <w:t xml:space="preserve"> uplat</w:t>
      </w:r>
      <w:r w:rsidR="000E6397">
        <w:t>e</w:t>
      </w:r>
      <w:r w:rsidR="00923EFF">
        <w:t xml:space="preserve"> učenika za izvođenje terenskih nastava, izleta i izvanučioničke nastave</w:t>
      </w:r>
      <w:r w:rsidR="005D0CE3">
        <w:t>.</w:t>
      </w:r>
    </w:p>
    <w:p w14:paraId="445462F5" w14:textId="7CDB596F" w:rsidR="009E5DCA" w:rsidRDefault="009D08C4" w:rsidP="003A5EBF">
      <w:pPr>
        <w:pStyle w:val="Bezproreda"/>
      </w:pPr>
      <w:r w:rsidRPr="00B568CE">
        <w:rPr>
          <w:u w:val="single"/>
        </w:rPr>
        <w:t xml:space="preserve">Bilješka broj </w:t>
      </w:r>
      <w:r w:rsidR="000E6397">
        <w:rPr>
          <w:u w:val="single"/>
        </w:rPr>
        <w:t>4</w:t>
      </w:r>
      <w:r w:rsidR="00B038A9">
        <w:rPr>
          <w:u w:val="single"/>
        </w:rPr>
        <w:t>0</w:t>
      </w:r>
      <w:r w:rsidR="007B0BA8">
        <w:t xml:space="preserve"> – </w:t>
      </w:r>
      <w:r w:rsidR="009E5DCA">
        <w:t xml:space="preserve">Prihodi od pruženih usluga – </w:t>
      </w:r>
      <w:r w:rsidR="007B0BA8">
        <w:t xml:space="preserve">6615- </w:t>
      </w:r>
      <w:r w:rsidR="009E5DCA">
        <w:t xml:space="preserve">u </w:t>
      </w:r>
      <w:r w:rsidR="007B0BA8">
        <w:t>tekućem izvještajnom</w:t>
      </w:r>
      <w:r w:rsidR="009E5DCA">
        <w:t xml:space="preserve"> razdoblju ostvaren j</w:t>
      </w:r>
      <w:r w:rsidR="00D268D0">
        <w:t xml:space="preserve">e </w:t>
      </w:r>
      <w:r w:rsidR="007B0BA8">
        <w:t>veći iznos nego u prethodnom,</w:t>
      </w:r>
      <w:r w:rsidR="009E5DCA">
        <w:t xml:space="preserve"> što je </w:t>
      </w:r>
      <w:r w:rsidR="006F038C">
        <w:t xml:space="preserve">rezultat </w:t>
      </w:r>
      <w:r w:rsidR="007B0BA8">
        <w:t xml:space="preserve"> veće</w:t>
      </w:r>
      <w:r w:rsidR="00A7401D">
        <w:t>g iznajmljivanja</w:t>
      </w:r>
      <w:r w:rsidR="007F107F">
        <w:t xml:space="preserve"> </w:t>
      </w:r>
      <w:r w:rsidR="009E5DCA">
        <w:t>šk</w:t>
      </w:r>
      <w:r w:rsidR="00B038A9">
        <w:t xml:space="preserve">olske sportske dvorane </w:t>
      </w:r>
      <w:r w:rsidR="007F107F">
        <w:t>korisnicima</w:t>
      </w:r>
      <w:r w:rsidR="007B0BA8">
        <w:t>.</w:t>
      </w:r>
    </w:p>
    <w:p w14:paraId="746539AD" w14:textId="74CA50C5" w:rsidR="00E22188" w:rsidRDefault="00DA6F99" w:rsidP="003A5EBF">
      <w:pPr>
        <w:pStyle w:val="Bezproreda"/>
      </w:pPr>
      <w:r w:rsidRPr="00B568CE">
        <w:rPr>
          <w:u w:val="single"/>
        </w:rPr>
        <w:lastRenderedPageBreak/>
        <w:t xml:space="preserve">Bilješka broj </w:t>
      </w:r>
      <w:r w:rsidR="000E6397">
        <w:rPr>
          <w:u w:val="single"/>
        </w:rPr>
        <w:t>4</w:t>
      </w:r>
      <w:r w:rsidR="00B038A9">
        <w:rPr>
          <w:u w:val="single"/>
        </w:rPr>
        <w:t>1</w:t>
      </w:r>
      <w:r w:rsidR="009E5DCA">
        <w:t xml:space="preserve"> –</w:t>
      </w:r>
      <w:r w:rsidR="005C74BF">
        <w:t>Donacije od pravnih i fizičkih osoba –</w:t>
      </w:r>
      <w:r w:rsidR="00641A6E">
        <w:t xml:space="preserve"> 663</w:t>
      </w:r>
      <w:r w:rsidR="005C74BF">
        <w:t xml:space="preserve"> u tekućem</w:t>
      </w:r>
      <w:r w:rsidR="009D08C4">
        <w:t xml:space="preserve"> izvještajnom razdoblju</w:t>
      </w:r>
      <w:r w:rsidR="00E04907">
        <w:t xml:space="preserve"> su </w:t>
      </w:r>
      <w:r w:rsidR="000E6397">
        <w:t>manje u odnosu na prethodno izvještajno razdoblje</w:t>
      </w:r>
      <w:r w:rsidR="00E04907">
        <w:t>,</w:t>
      </w:r>
      <w:r w:rsidR="00641A6E">
        <w:t xml:space="preserve"> </w:t>
      </w:r>
      <w:r w:rsidR="000E6397">
        <w:t xml:space="preserve"> u 2023. godini škola je provodila projekt </w:t>
      </w:r>
      <w:r w:rsidR="00F62A96">
        <w:t>„Različiti, ali zajedno“ kojim se obilježavao Dan Europe te ujedno i Dan škole</w:t>
      </w:r>
      <w:r w:rsidR="000E6397">
        <w:t xml:space="preserve"> za što su dobivene donacije </w:t>
      </w:r>
      <w:r w:rsidR="002557CA">
        <w:t xml:space="preserve">od poduzeća iz okolice škole. U 2024. godini nije bilo takvih projekata te su ostvarene donacije </w:t>
      </w:r>
      <w:r w:rsidR="00641A6E">
        <w:t>za nabavu sportske opreme, sportska natjecanja, donacije za nabavu opreme</w:t>
      </w:r>
      <w:r w:rsidR="00F62A96">
        <w:t xml:space="preserve"> za rad škole</w:t>
      </w:r>
      <w:r w:rsidR="00641A6E">
        <w:t>, donacije od Crvenog križa, dok su kapitalne donacije u tekuć</w:t>
      </w:r>
      <w:r w:rsidR="00F62A96">
        <w:t xml:space="preserve">em izvještajnom razdoblju </w:t>
      </w:r>
      <w:r w:rsidR="002557CA">
        <w:t>povećane</w:t>
      </w:r>
      <w:r w:rsidR="00641A6E">
        <w:t>,</w:t>
      </w:r>
      <w:r w:rsidR="00E04907">
        <w:t xml:space="preserve"> a odnose se na </w:t>
      </w:r>
      <w:r w:rsidR="002C5A48">
        <w:t>donaciju</w:t>
      </w:r>
      <w:r w:rsidR="00641A6E">
        <w:t xml:space="preserve"> </w:t>
      </w:r>
      <w:r w:rsidR="002C5A48">
        <w:t>knjiga i priručnika za školsku knjižnicu</w:t>
      </w:r>
      <w:r w:rsidR="00641A6E">
        <w:t>.</w:t>
      </w:r>
      <w:r w:rsidR="00D268D0">
        <w:t xml:space="preserve"> </w:t>
      </w:r>
    </w:p>
    <w:p w14:paraId="6A629888" w14:textId="33AA59EE" w:rsidR="00A7401D" w:rsidRDefault="00E22188" w:rsidP="003A5EBF">
      <w:pPr>
        <w:pStyle w:val="Bezproreda"/>
      </w:pPr>
      <w:r w:rsidRPr="00B568CE">
        <w:rPr>
          <w:u w:val="single"/>
        </w:rPr>
        <w:t xml:space="preserve">Bilješka broj </w:t>
      </w:r>
      <w:r w:rsidR="002557CA">
        <w:rPr>
          <w:u w:val="single"/>
        </w:rPr>
        <w:t>4</w:t>
      </w:r>
      <w:r w:rsidR="00B038A9">
        <w:rPr>
          <w:u w:val="single"/>
        </w:rPr>
        <w:t>2</w:t>
      </w:r>
      <w:r w:rsidR="00B568CE">
        <w:t xml:space="preserve"> </w:t>
      </w:r>
      <w:r>
        <w:t>-</w:t>
      </w:r>
      <w:r w:rsidR="00641A6E">
        <w:t xml:space="preserve"> </w:t>
      </w:r>
      <w:r>
        <w:t>Prihodi iz nadležnog proračuna</w:t>
      </w:r>
      <w:r w:rsidR="00641A6E">
        <w:t>-671-</w:t>
      </w:r>
      <w:r w:rsidR="002557CA">
        <w:t>poveća</w:t>
      </w:r>
      <w:r w:rsidR="002C5A48">
        <w:t xml:space="preserve">ni </w:t>
      </w:r>
      <w:r w:rsidR="00641A6E">
        <w:t xml:space="preserve">su </w:t>
      </w:r>
      <w:r w:rsidR="002C5A48">
        <w:t>u odnosu na prethodno razdoblje</w:t>
      </w:r>
      <w:r w:rsidR="00A7401D">
        <w:t>,</w:t>
      </w:r>
      <w:r w:rsidR="00E04907">
        <w:t xml:space="preserve"> </w:t>
      </w:r>
      <w:r w:rsidR="00EF6256">
        <w:t xml:space="preserve">ostvareno je ukupno </w:t>
      </w:r>
      <w:r w:rsidR="002557CA">
        <w:t>257.964,43</w:t>
      </w:r>
      <w:r w:rsidR="00F62A96">
        <w:t xml:space="preserve"> eura</w:t>
      </w:r>
      <w:r w:rsidR="00EF6256">
        <w:t xml:space="preserve"> od čega iz decentraliziranih sredstava 1</w:t>
      </w:r>
      <w:r w:rsidR="00F62A96">
        <w:t>5</w:t>
      </w:r>
      <w:r w:rsidR="002557CA">
        <w:t>9.246,</w:t>
      </w:r>
      <w:r w:rsidR="00F62A96">
        <w:t>00 eura</w:t>
      </w:r>
      <w:r w:rsidR="00EF6256">
        <w:t xml:space="preserve"> za financiranje materijalnih rashoda poslovanja, </w:t>
      </w:r>
      <w:r w:rsidR="002557CA">
        <w:t>7.300</w:t>
      </w:r>
      <w:r w:rsidR="00F62A96">
        <w:t>,00 eura</w:t>
      </w:r>
      <w:r w:rsidR="00EF6256">
        <w:t xml:space="preserve"> za financiranje rashoda za nabavu nefinancijske imovine </w:t>
      </w:r>
      <w:r w:rsidR="00F62A96">
        <w:t>(nabava računalne opreme, školskog namještaja, knjiga za školsku knjižnicu)</w:t>
      </w:r>
      <w:r w:rsidR="00EF6256">
        <w:t xml:space="preserve">. </w:t>
      </w:r>
      <w:r w:rsidR="00A7401D">
        <w:t>G</w:t>
      </w:r>
      <w:r w:rsidR="00E04907">
        <w:t>rad Krapina</w:t>
      </w:r>
      <w:r w:rsidR="00A7401D">
        <w:t xml:space="preserve"> je</w:t>
      </w:r>
      <w:r>
        <w:t xml:space="preserve"> doznačio</w:t>
      </w:r>
      <w:r w:rsidR="00EF6256">
        <w:t xml:space="preserve"> povrh decentraliziranih sredstava ukupno </w:t>
      </w:r>
      <w:r w:rsidR="002557CA">
        <w:t>91.418,43</w:t>
      </w:r>
      <w:r w:rsidR="00F62A96">
        <w:t xml:space="preserve"> eura</w:t>
      </w:r>
      <w:r w:rsidR="00EF6256">
        <w:t xml:space="preserve"> od čega </w:t>
      </w:r>
      <w:r w:rsidR="005A1A7C">
        <w:t>1</w:t>
      </w:r>
      <w:r w:rsidR="002557CA">
        <w:t>7.842,71</w:t>
      </w:r>
      <w:r w:rsidR="00EF6256">
        <w:t xml:space="preserve"> </w:t>
      </w:r>
      <w:r w:rsidR="00F62A96">
        <w:t xml:space="preserve">eura </w:t>
      </w:r>
      <w:r w:rsidR="00EF6256">
        <w:t>za nabavu radnih bilježnica</w:t>
      </w:r>
      <w:r w:rsidR="00F62A96">
        <w:t xml:space="preserve"> (sufinanciranje 50% uz KZŽ)</w:t>
      </w:r>
      <w:r w:rsidR="00EF6256">
        <w:t xml:space="preserve">, </w:t>
      </w:r>
      <w:r w:rsidR="002557CA">
        <w:t>4.430,00 eura za sanaciju bunara kod PŠ Donja Šemnica, 4.498,85 eura za troškove provođenja javne nabave i stručnog nadzora za radove na sanaciji tornjeva na krovu matične škole u Krapini, 3.620,00 eura za projekt razmjene učenika, 636,80</w:t>
      </w:r>
      <w:r w:rsidR="00EF6256">
        <w:t xml:space="preserve"> za financiranje ugovora o djelu za e-tehničara, </w:t>
      </w:r>
      <w:r w:rsidR="002557CA">
        <w:t>1.275,00</w:t>
      </w:r>
      <w:r w:rsidR="00E87377">
        <w:t xml:space="preserve"> za sufinanciranje škole plivanja za učenike trećih razreda</w:t>
      </w:r>
      <w:r w:rsidR="002557CA">
        <w:t xml:space="preserve"> te 3.000,00 eura</w:t>
      </w:r>
      <w:r w:rsidR="00C022B4">
        <w:t xml:space="preserve"> za ostale materijalne troškove za koja nisu dostatna decentralizirana sredstva. </w:t>
      </w:r>
    </w:p>
    <w:p w14:paraId="69A5BD93" w14:textId="71AF813C" w:rsidR="00C022B4" w:rsidRDefault="00C022B4" w:rsidP="003A5EBF">
      <w:pPr>
        <w:pStyle w:val="Bezproreda"/>
      </w:pPr>
      <w:r>
        <w:t>56.115,07 eura Grad Krapina nam je doznačio za sufinanciranje radova na sanaciji sjevernog i južnog bočnog tornja te središnjeg limenog pokrova na krovu zgrade matične škole u Krapini te sufinanciranje zamjene unutarnje stolarije u MŠ Krapina. Obzirom na navedene radove školi su doznačeno značajno veća sredstva nego u prethodnom izvještajnom razdoblju.</w:t>
      </w:r>
    </w:p>
    <w:p w14:paraId="022796E7" w14:textId="24371BBF" w:rsidR="007870E7" w:rsidRDefault="007870E7" w:rsidP="003A5EBF">
      <w:pPr>
        <w:pStyle w:val="Bezproreda"/>
      </w:pPr>
      <w:r w:rsidRPr="00920C83">
        <w:rPr>
          <w:u w:val="single"/>
        </w:rPr>
        <w:t xml:space="preserve">Bilješka broj </w:t>
      </w:r>
      <w:r w:rsidR="00C022B4">
        <w:rPr>
          <w:u w:val="single"/>
        </w:rPr>
        <w:t>4</w:t>
      </w:r>
      <w:r w:rsidRPr="00920C83">
        <w:rPr>
          <w:u w:val="single"/>
        </w:rPr>
        <w:t>3</w:t>
      </w:r>
      <w:r>
        <w:t>-Ostali prihodi-</w:t>
      </w:r>
      <w:r w:rsidR="00920C83">
        <w:t xml:space="preserve"> 683-</w:t>
      </w:r>
      <w:r>
        <w:t xml:space="preserve">u </w:t>
      </w:r>
      <w:r w:rsidR="00C022B4">
        <w:t>tekućem</w:t>
      </w:r>
      <w:r>
        <w:t xml:space="preserve"> izvještajnom razdoblju nije ostvareno, u </w:t>
      </w:r>
      <w:r w:rsidR="00C022B4">
        <w:t>prethodno</w:t>
      </w:r>
      <w:r>
        <w:t xml:space="preserve">m se odnosi na uplatu prikupljenih sredstava od učitelja povijesti i geografije </w:t>
      </w:r>
      <w:r w:rsidR="00920C83">
        <w:t xml:space="preserve">iz Krapinsko zagorske županije za podmirenje dijela troškova prijevoza na stručni skup koji je organizirala učiteljica iz naše škole koja je voditelj aktiva županijskog stručnog vije učitelja geografije.  </w:t>
      </w:r>
    </w:p>
    <w:p w14:paraId="3C935BFC" w14:textId="22AC591B" w:rsidR="00E87377" w:rsidRDefault="00E87377" w:rsidP="003A5EBF">
      <w:pPr>
        <w:pStyle w:val="Bezproreda"/>
      </w:pPr>
      <w:r w:rsidRPr="00B038A9">
        <w:rPr>
          <w:u w:val="single"/>
        </w:rPr>
        <w:t>Bilješka broj</w:t>
      </w:r>
      <w:r w:rsidR="00B038A9" w:rsidRPr="00B038A9">
        <w:rPr>
          <w:u w:val="single"/>
        </w:rPr>
        <w:t xml:space="preserve"> </w:t>
      </w:r>
      <w:r w:rsidR="00C022B4">
        <w:rPr>
          <w:u w:val="single"/>
        </w:rPr>
        <w:t>4</w:t>
      </w:r>
      <w:r w:rsidR="00920C83">
        <w:rPr>
          <w:u w:val="single"/>
        </w:rPr>
        <w:t>4</w:t>
      </w:r>
      <w:r>
        <w:t xml:space="preserve">   - Plaće za redovan rad – 31111 – povećane u odnosu na prethodno razdoblje zbog povećanja </w:t>
      </w:r>
      <w:r w:rsidR="00C022B4">
        <w:t xml:space="preserve">koeficijenata i </w:t>
      </w:r>
      <w:r>
        <w:t>osnovice za isplatu plaća.</w:t>
      </w:r>
    </w:p>
    <w:p w14:paraId="22ADD9F8" w14:textId="41BB9A52" w:rsidR="00E22188" w:rsidRDefault="000B6E3D" w:rsidP="003A5EBF">
      <w:pPr>
        <w:pStyle w:val="Bezproreda"/>
        <w:rPr>
          <w:rFonts w:cs="Calibri"/>
        </w:rPr>
      </w:pPr>
      <w:r w:rsidRPr="00B568CE">
        <w:rPr>
          <w:u w:val="single"/>
        </w:rPr>
        <w:t xml:space="preserve">Bilješka broj </w:t>
      </w:r>
      <w:r w:rsidR="00C022B4">
        <w:rPr>
          <w:u w:val="single"/>
        </w:rPr>
        <w:t>4</w:t>
      </w:r>
      <w:r w:rsidR="00920C83">
        <w:rPr>
          <w:u w:val="single"/>
        </w:rPr>
        <w:t>5</w:t>
      </w:r>
      <w:r w:rsidR="005A1A7C">
        <w:t xml:space="preserve"> – </w:t>
      </w:r>
      <w:r w:rsidR="007106C5">
        <w:t>Plaće za prekovremeni rad</w:t>
      </w:r>
      <w:r w:rsidR="009E63B8">
        <w:t xml:space="preserve"> – </w:t>
      </w:r>
      <w:r w:rsidR="005A1A7C">
        <w:t>31</w:t>
      </w:r>
      <w:r w:rsidR="007106C5">
        <w:t>13</w:t>
      </w:r>
      <w:r w:rsidR="005A1A7C">
        <w:t>-</w:t>
      </w:r>
      <w:r w:rsidR="00C022B4">
        <w:t>poveća</w:t>
      </w:r>
      <w:r w:rsidR="009E63B8">
        <w:t>n</w:t>
      </w:r>
      <w:r w:rsidR="00037900">
        <w:t>i</w:t>
      </w:r>
      <w:r w:rsidR="009E63B8">
        <w:t xml:space="preserve"> u odnosu na prethodno razdoblje</w:t>
      </w:r>
      <w:r w:rsidR="00C022B4">
        <w:t xml:space="preserve"> zbog velikog broja bolovanja i</w:t>
      </w:r>
      <w:r w:rsidR="00E87377">
        <w:t xml:space="preserve"> </w:t>
      </w:r>
      <w:r w:rsidR="00A01393">
        <w:t xml:space="preserve">potrebnih </w:t>
      </w:r>
      <w:r w:rsidR="00E87377">
        <w:t xml:space="preserve">zamjena </w:t>
      </w:r>
      <w:r w:rsidR="007106C5">
        <w:t>učitelja</w:t>
      </w:r>
      <w:r w:rsidR="00C022B4">
        <w:t>.</w:t>
      </w:r>
      <w:r w:rsidR="00D659A9" w:rsidRPr="00D659A9">
        <w:rPr>
          <w:rFonts w:cs="Calibri"/>
        </w:rPr>
        <w:t xml:space="preserve"> </w:t>
      </w:r>
    </w:p>
    <w:p w14:paraId="2595DC56" w14:textId="62334510" w:rsidR="00C022B4" w:rsidRDefault="00C022B4" w:rsidP="003A5EBF">
      <w:pPr>
        <w:pStyle w:val="Bezproreda"/>
      </w:pPr>
      <w:r w:rsidRPr="00C022B4">
        <w:rPr>
          <w:rFonts w:cs="Calibri"/>
          <w:u w:val="single"/>
        </w:rPr>
        <w:t>Bilješka broj 4</w:t>
      </w:r>
      <w:r w:rsidR="00520EDB">
        <w:rPr>
          <w:rFonts w:cs="Calibri"/>
          <w:u w:val="single"/>
        </w:rPr>
        <w:t>6</w:t>
      </w:r>
      <w:r>
        <w:rPr>
          <w:rFonts w:cs="Calibri"/>
        </w:rPr>
        <w:t>-Plaće za posebne uvjete rada-3114-povećani u odnosu na prethodno izvještajno razdoblje zbog većeg broja dobivenih rješenja za rad s učenicima s poteškoćama.</w:t>
      </w:r>
    </w:p>
    <w:p w14:paraId="028FC41B" w14:textId="2579272C" w:rsidR="005C3AE4" w:rsidRDefault="000B6E3D" w:rsidP="003A5EBF">
      <w:pPr>
        <w:pStyle w:val="Bezproreda"/>
      </w:pPr>
      <w:r w:rsidRPr="007106C5">
        <w:rPr>
          <w:u w:val="single"/>
        </w:rPr>
        <w:t xml:space="preserve">Bilješka broj </w:t>
      </w:r>
      <w:r w:rsidR="00C022B4">
        <w:rPr>
          <w:u w:val="single"/>
        </w:rPr>
        <w:t>4</w:t>
      </w:r>
      <w:r w:rsidR="00520EDB">
        <w:rPr>
          <w:u w:val="single"/>
        </w:rPr>
        <w:t>7</w:t>
      </w:r>
      <w:r w:rsidR="009E63B8" w:rsidRPr="007106C5">
        <w:t xml:space="preserve"> – </w:t>
      </w:r>
      <w:r w:rsidR="007106C5">
        <w:t xml:space="preserve">Ostali </w:t>
      </w:r>
      <w:r w:rsidR="00037900" w:rsidRPr="007106C5">
        <w:t>rashodi</w:t>
      </w:r>
      <w:r w:rsidR="007106C5">
        <w:t xml:space="preserve"> za zaposlene</w:t>
      </w:r>
      <w:r w:rsidR="00D659A9">
        <w:t>- 312</w:t>
      </w:r>
      <w:r w:rsidR="00037900" w:rsidRPr="007106C5">
        <w:t xml:space="preserve"> – </w:t>
      </w:r>
      <w:r w:rsidR="00E87377">
        <w:t>povećani</w:t>
      </w:r>
      <w:r w:rsidR="00E22188" w:rsidRPr="007106C5">
        <w:t xml:space="preserve"> </w:t>
      </w:r>
      <w:r w:rsidR="00037900" w:rsidRPr="007106C5">
        <w:t>u odnosu na preth</w:t>
      </w:r>
      <w:r w:rsidR="005E5FB2" w:rsidRPr="007106C5">
        <w:t>odno izvještajno razdoblj</w:t>
      </w:r>
      <w:r w:rsidR="005F6295" w:rsidRPr="007106C5">
        <w:t>e</w:t>
      </w:r>
      <w:r w:rsidR="007106C5">
        <w:t xml:space="preserve"> iz razloga</w:t>
      </w:r>
      <w:r w:rsidR="00520EDB">
        <w:t xml:space="preserve"> isplate uskrsnice (novo pravo iz TKU)</w:t>
      </w:r>
      <w:r w:rsidR="00FE7E82">
        <w:t>, isplaćiva</w:t>
      </w:r>
      <w:r w:rsidR="00E87377">
        <w:t xml:space="preserve">ne su pomoći za smrtne slučajeve u obitelji, </w:t>
      </w:r>
      <w:r w:rsidR="00FE7E82">
        <w:t>pomoći za bolovanje dulje od 90 dana te otpremnina za odlazak u mirovinu.</w:t>
      </w:r>
    </w:p>
    <w:p w14:paraId="69146BD9" w14:textId="6BB7C770" w:rsidR="00FE7E82" w:rsidRPr="007106C5" w:rsidRDefault="00FE7E82" w:rsidP="003A5EBF">
      <w:pPr>
        <w:pStyle w:val="Bezproreda"/>
      </w:pPr>
      <w:r w:rsidRPr="00B038A9">
        <w:rPr>
          <w:u w:val="single"/>
        </w:rPr>
        <w:t>Bilješka broj</w:t>
      </w:r>
      <w:r w:rsidR="00920C83">
        <w:rPr>
          <w:u w:val="single"/>
        </w:rPr>
        <w:t xml:space="preserve"> </w:t>
      </w:r>
      <w:r w:rsidR="00520EDB">
        <w:rPr>
          <w:u w:val="single"/>
        </w:rPr>
        <w:t>48</w:t>
      </w:r>
      <w:r>
        <w:t xml:space="preserve">  - </w:t>
      </w:r>
      <w:r w:rsidR="00520EDB">
        <w:t>D</w:t>
      </w:r>
      <w:r>
        <w:t>oprinosi na plaće-313-povećani u odnosu na prethodno razdoblje sukladno povećanju bruto plaće.</w:t>
      </w:r>
    </w:p>
    <w:p w14:paraId="5E62E9BA" w14:textId="6E306BA0" w:rsidR="00CA680F" w:rsidRDefault="00920C83" w:rsidP="00CA680F">
      <w:pPr>
        <w:pStyle w:val="Bezproreda"/>
      </w:pPr>
      <w:r>
        <w:rPr>
          <w:u w:val="single"/>
        </w:rPr>
        <w:t xml:space="preserve">Bilješka broj </w:t>
      </w:r>
      <w:r w:rsidR="00520EDB">
        <w:rPr>
          <w:u w:val="single"/>
        </w:rPr>
        <w:t>49</w:t>
      </w:r>
      <w:r w:rsidR="0038554A">
        <w:t>-S</w:t>
      </w:r>
      <w:r w:rsidR="00FE7E82">
        <w:t>lužbena putovanja-3211-</w:t>
      </w:r>
      <w:r w:rsidR="00520EDB">
        <w:t>smanjena</w:t>
      </w:r>
      <w:r w:rsidR="0038554A">
        <w:t xml:space="preserve"> u tekućem izvještajnom razdoblju iz razloga što </w:t>
      </w:r>
      <w:r w:rsidR="00520EDB">
        <w:t>se nije odlazilo na stručne skupove</w:t>
      </w:r>
      <w:r w:rsidR="00A01393">
        <w:t xml:space="preserve"> (stručni skupovi su se pratili putem webinara)</w:t>
      </w:r>
      <w:r w:rsidR="00520EDB">
        <w:t>.</w:t>
      </w:r>
    </w:p>
    <w:p w14:paraId="7963FC15" w14:textId="69AEA2E9" w:rsidR="00520EDB" w:rsidRDefault="00520EDB" w:rsidP="00CA680F">
      <w:pPr>
        <w:pStyle w:val="Bezproreda"/>
      </w:pPr>
      <w:r w:rsidRPr="00520EDB">
        <w:rPr>
          <w:u w:val="single"/>
        </w:rPr>
        <w:t>Bilješka broj 50</w:t>
      </w:r>
      <w:r>
        <w:t>-Naknade za prijevoz, za rad na terenu i odvojeni život-u tekućem izvještajnom razdoblju ostvaren je veći iznos u odnosu na prethodno razdoblje iz razloga što po novom TKU veći broj radnika ostvaruje pravo na isplatu prijevoza na posao i s posla te zaposlenih radnika iz udaljenih područja za koje se isplaćuju i veći troškovi prijevoza.</w:t>
      </w:r>
    </w:p>
    <w:p w14:paraId="55241AC4" w14:textId="443F0B95" w:rsidR="00B22044" w:rsidRDefault="00CA680F" w:rsidP="00CA680F">
      <w:pPr>
        <w:pStyle w:val="Bezproreda"/>
      </w:pPr>
      <w:r w:rsidRPr="00C96033">
        <w:rPr>
          <w:u w:val="single"/>
        </w:rPr>
        <w:t xml:space="preserve">Bilješka broj </w:t>
      </w:r>
      <w:r w:rsidR="00520EDB">
        <w:rPr>
          <w:u w:val="single"/>
        </w:rPr>
        <w:t>51</w:t>
      </w:r>
      <w:r>
        <w:t>-S</w:t>
      </w:r>
      <w:r w:rsidR="00B22044">
        <w:t>tručno usavršavanje</w:t>
      </w:r>
      <w:r>
        <w:t xml:space="preserve"> zaposlenika-3213- iznos</w:t>
      </w:r>
      <w:r w:rsidR="00FE7E82">
        <w:t xml:space="preserve"> je </w:t>
      </w:r>
      <w:r w:rsidR="00520EDB">
        <w:t xml:space="preserve">smanjen u odnosu na prethodno izvještajno razdoblje jer se nije odlazilo na  stručne skupove </w:t>
      </w:r>
      <w:r w:rsidR="00FE7E82">
        <w:t>za koje se plaća kotizacija</w:t>
      </w:r>
      <w:r w:rsidR="00B22044">
        <w:t xml:space="preserve">. </w:t>
      </w:r>
    </w:p>
    <w:p w14:paraId="15776BC1" w14:textId="73687CF1" w:rsidR="00CA680F" w:rsidRDefault="00920C83" w:rsidP="00CA680F">
      <w:pPr>
        <w:pStyle w:val="Bezproreda"/>
      </w:pPr>
      <w:r>
        <w:rPr>
          <w:u w:val="single"/>
        </w:rPr>
        <w:t xml:space="preserve">Bilješka broj </w:t>
      </w:r>
      <w:r w:rsidR="00520EDB">
        <w:rPr>
          <w:u w:val="single"/>
        </w:rPr>
        <w:t>52</w:t>
      </w:r>
      <w:r w:rsidR="00CA680F">
        <w:t>-Ostale naknade troškova zaposlenima- 3214- u tekućem izvje</w:t>
      </w:r>
      <w:r w:rsidR="00FE7E82">
        <w:t>štajnom razdoblju iznos je veći zbog viš</w:t>
      </w:r>
      <w:r w:rsidR="00CA680F">
        <w:t>e ostvarenih loko vožnji</w:t>
      </w:r>
      <w:r w:rsidR="00520EDB">
        <w:t xml:space="preserve"> i većeg neoporezivog iznosa za isplatu u odnosu na prethodno izvještajno razdoblje.</w:t>
      </w:r>
    </w:p>
    <w:p w14:paraId="3217BDEF" w14:textId="56744108" w:rsidR="00FE7E82" w:rsidRDefault="00FE7E82" w:rsidP="00CA680F">
      <w:pPr>
        <w:pStyle w:val="Bezproreda"/>
      </w:pPr>
      <w:r w:rsidRPr="00B038A9">
        <w:rPr>
          <w:u w:val="single"/>
        </w:rPr>
        <w:t xml:space="preserve">Bilješka broj </w:t>
      </w:r>
      <w:r w:rsidR="00520EDB">
        <w:rPr>
          <w:u w:val="single"/>
        </w:rPr>
        <w:t>53</w:t>
      </w:r>
      <w:r>
        <w:t>–</w:t>
      </w:r>
      <w:r w:rsidR="00520EDB">
        <w:t>U</w:t>
      </w:r>
      <w:r>
        <w:t>redski materijal i ostali materijalni rashodi</w:t>
      </w:r>
      <w:r w:rsidR="00962C0C">
        <w:t xml:space="preserve"> -3221</w:t>
      </w:r>
      <w:r>
        <w:t xml:space="preserve">- iznos je </w:t>
      </w:r>
      <w:r w:rsidR="00520EDB">
        <w:t>smanje</w:t>
      </w:r>
      <w:r>
        <w:t xml:space="preserve">n u odnosu na prethodno razdoblje zbog </w:t>
      </w:r>
      <w:r w:rsidR="00520EDB">
        <w:t xml:space="preserve">toga što se u prethodnom izvještajnom razdoblju provodio </w:t>
      </w:r>
      <w:r w:rsidR="0027267F">
        <w:t xml:space="preserve">projekt „Različiti, ali zajedno“ pa su bili </w:t>
      </w:r>
      <w:r>
        <w:t>povećani troškov</w:t>
      </w:r>
      <w:r w:rsidR="0027267F">
        <w:t>i</w:t>
      </w:r>
      <w:r>
        <w:t xml:space="preserve"> nabave materijala potrebnih za realizaciju  projekta</w:t>
      </w:r>
      <w:r w:rsidR="0027267F">
        <w:t>.</w:t>
      </w:r>
    </w:p>
    <w:p w14:paraId="152E8727" w14:textId="22C36C03" w:rsidR="00C97975" w:rsidRDefault="00920C83" w:rsidP="00CA680F">
      <w:pPr>
        <w:pStyle w:val="Bezproreda"/>
      </w:pPr>
      <w:r>
        <w:rPr>
          <w:u w:val="single"/>
        </w:rPr>
        <w:lastRenderedPageBreak/>
        <w:t xml:space="preserve">Bilješka broj </w:t>
      </w:r>
      <w:r w:rsidR="0027267F">
        <w:rPr>
          <w:u w:val="single"/>
        </w:rPr>
        <w:t>5</w:t>
      </w:r>
      <w:r>
        <w:rPr>
          <w:u w:val="single"/>
        </w:rPr>
        <w:t>4</w:t>
      </w:r>
      <w:r w:rsidR="00B038A9">
        <w:t xml:space="preserve">-Energija-3223-iznos </w:t>
      </w:r>
      <w:r w:rsidR="00C97975">
        <w:t xml:space="preserve">u tekućem izvještajnom razdoblju </w:t>
      </w:r>
      <w:r w:rsidR="00962C0C">
        <w:t>je manji</w:t>
      </w:r>
      <w:r w:rsidR="0027267F">
        <w:t>, nabavljena je cisterna loživog ulja manje zbog zalihe u rezervoaru iz prethodne godine.</w:t>
      </w:r>
    </w:p>
    <w:p w14:paraId="21701393" w14:textId="4AC27C83" w:rsidR="00C96033" w:rsidRDefault="00C96033" w:rsidP="00CA680F">
      <w:pPr>
        <w:pStyle w:val="Bezproreda"/>
      </w:pPr>
      <w:r w:rsidRPr="00D0201E">
        <w:rPr>
          <w:u w:val="single"/>
        </w:rPr>
        <w:t xml:space="preserve">Bilješka broj </w:t>
      </w:r>
      <w:r w:rsidR="0027267F">
        <w:rPr>
          <w:u w:val="single"/>
        </w:rPr>
        <w:t>55</w:t>
      </w:r>
      <w:r>
        <w:t xml:space="preserve">-Materijal i dijelovi za tekuće i investicijsko održavanje-3224- </w:t>
      </w:r>
      <w:r w:rsidR="0027267F">
        <w:t>smanje</w:t>
      </w:r>
      <w:r w:rsidR="00962C0C">
        <w:t>ni su</w:t>
      </w:r>
      <w:r>
        <w:t xml:space="preserve"> u </w:t>
      </w:r>
      <w:r w:rsidR="00962C0C">
        <w:t xml:space="preserve">tekućem izvještajnom razdoblju zbog </w:t>
      </w:r>
      <w:r w:rsidR="0027267F">
        <w:t>manj</w:t>
      </w:r>
      <w:r w:rsidR="00962C0C">
        <w:t>e potrebe za izvršavanjem različitih popravaka postrojenja i opreme.</w:t>
      </w:r>
    </w:p>
    <w:p w14:paraId="146E3882" w14:textId="78CA4042" w:rsidR="0027267F" w:rsidRDefault="0027267F" w:rsidP="00CA680F">
      <w:pPr>
        <w:pStyle w:val="Bezproreda"/>
      </w:pPr>
      <w:r w:rsidRPr="0027267F">
        <w:rPr>
          <w:u w:val="single"/>
        </w:rPr>
        <w:t>Bilješka broj 56</w:t>
      </w:r>
      <w:r>
        <w:t>-Sitni inventar i auto gume-3225-u tekućem izvještajnom razdoblju je ostvaren veći iznos iz razloga nabave novog modernijeg sitnog inventara za obavljane nastavnih procesa jer je stari neupotrebljivi</w:t>
      </w:r>
      <w:r w:rsidR="001623A9">
        <w:t>, oštećni</w:t>
      </w:r>
      <w:r>
        <w:t xml:space="preserve"> i istrošeni sitni inventar isknjižen iz knjigovodstvene evidencije i bačen.</w:t>
      </w:r>
    </w:p>
    <w:p w14:paraId="7B9FFD79" w14:textId="6AD11A47" w:rsidR="00C96033" w:rsidRDefault="00920C83" w:rsidP="00CA680F">
      <w:pPr>
        <w:pStyle w:val="Bezproreda"/>
      </w:pPr>
      <w:r>
        <w:rPr>
          <w:u w:val="single"/>
        </w:rPr>
        <w:t xml:space="preserve">Bilješka broj </w:t>
      </w:r>
      <w:r w:rsidR="0027267F">
        <w:rPr>
          <w:u w:val="single"/>
        </w:rPr>
        <w:t>57</w:t>
      </w:r>
      <w:r w:rsidR="00C96033">
        <w:t>-Službena, radna i zaštitna odjeća i obuća-3227- u tekućem izvještajnom razdoblju</w:t>
      </w:r>
      <w:r w:rsidR="00962C0C">
        <w:t xml:space="preserve"> iznos je </w:t>
      </w:r>
      <w:r w:rsidR="0027267F">
        <w:t>manji, u prethodnom je nabavljena nova</w:t>
      </w:r>
      <w:r w:rsidR="00C96033">
        <w:t xml:space="preserve"> radn</w:t>
      </w:r>
      <w:r w:rsidR="0027267F">
        <w:t>a</w:t>
      </w:r>
      <w:r w:rsidR="00962C0C">
        <w:t xml:space="preserve"> odjeć</w:t>
      </w:r>
      <w:r w:rsidR="0027267F">
        <w:t>a</w:t>
      </w:r>
      <w:r w:rsidR="003014D0">
        <w:t xml:space="preserve"> i obuć</w:t>
      </w:r>
      <w:r w:rsidR="0027267F">
        <w:t>a</w:t>
      </w:r>
      <w:r w:rsidR="003014D0">
        <w:t xml:space="preserve"> za spremačice, domara i </w:t>
      </w:r>
      <w:r w:rsidR="00C96033">
        <w:t xml:space="preserve"> kuharice</w:t>
      </w:r>
      <w:r w:rsidR="00962C0C">
        <w:t>.</w:t>
      </w:r>
    </w:p>
    <w:p w14:paraId="50F217E8" w14:textId="715BE62B" w:rsidR="00C96033" w:rsidRDefault="00920C83" w:rsidP="00CA680F">
      <w:pPr>
        <w:pStyle w:val="Bezproreda"/>
      </w:pPr>
      <w:r>
        <w:rPr>
          <w:u w:val="single"/>
        </w:rPr>
        <w:t xml:space="preserve">Bilješka broj </w:t>
      </w:r>
      <w:r w:rsidR="0027267F">
        <w:rPr>
          <w:u w:val="single"/>
        </w:rPr>
        <w:t>58</w:t>
      </w:r>
      <w:r w:rsidR="00C96033">
        <w:t>-Usluge telefona, pošte i prijevoza-3231 u tekućem izvještajnom razdoblju iznos je povećan</w:t>
      </w:r>
      <w:r w:rsidR="00962C0C">
        <w:t xml:space="preserve"> zbog povećanja cijene prijevoza učenika</w:t>
      </w:r>
      <w:r w:rsidR="0027267F">
        <w:t>.</w:t>
      </w:r>
    </w:p>
    <w:p w14:paraId="682291C7" w14:textId="20016B9E" w:rsidR="00D0201E" w:rsidRDefault="00920C83" w:rsidP="00D0201E">
      <w:pPr>
        <w:pStyle w:val="Bezproreda"/>
      </w:pPr>
      <w:r>
        <w:rPr>
          <w:u w:val="single"/>
        </w:rPr>
        <w:t xml:space="preserve">Bilješka broj </w:t>
      </w:r>
      <w:r w:rsidR="0027267F">
        <w:rPr>
          <w:u w:val="single"/>
        </w:rPr>
        <w:t>59</w:t>
      </w:r>
      <w:r w:rsidR="00C96033">
        <w:t xml:space="preserve">-Usluge tekućeg i investicijskog održavanja-3232-u tekućem izvještajnom razdoblju iznos je </w:t>
      </w:r>
      <w:r w:rsidR="00476EF5">
        <w:t xml:space="preserve">povećan zbog potrebe sanacije </w:t>
      </w:r>
      <w:r w:rsidR="0027267F">
        <w:t>parketa i krečenja zidova u sportskoj dvorani i učionica.</w:t>
      </w:r>
      <w:r w:rsidR="00476EF5">
        <w:t xml:space="preserve"> </w:t>
      </w:r>
    </w:p>
    <w:p w14:paraId="3A1F4C30" w14:textId="166DA582" w:rsidR="00D0201E" w:rsidRDefault="00D0201E" w:rsidP="00D0201E">
      <w:pPr>
        <w:pStyle w:val="Bezproreda"/>
      </w:pPr>
      <w:r w:rsidRPr="00BB5B75">
        <w:rPr>
          <w:u w:val="single"/>
        </w:rPr>
        <w:t xml:space="preserve">Bilješka broj </w:t>
      </w:r>
      <w:r w:rsidR="0027267F">
        <w:rPr>
          <w:u w:val="single"/>
        </w:rPr>
        <w:t>60</w:t>
      </w:r>
      <w:r>
        <w:t>-Usluge promidžb</w:t>
      </w:r>
      <w:r w:rsidR="00476EF5">
        <w:t>e i informiranja-3233- u prethodnom</w:t>
      </w:r>
      <w:r>
        <w:t xml:space="preserve"> izvještajnom razdoblju </w:t>
      </w:r>
      <w:r w:rsidR="0073753B">
        <w:t>se od</w:t>
      </w:r>
      <w:r w:rsidR="00476EF5">
        <w:t>nosi na obveznu objavu poziva u Narodnim novinama za javnu nabavu lož ulja</w:t>
      </w:r>
      <w:r w:rsidR="0073753B">
        <w:t>, a u tekućem na objavu javne nabave za radove na sanaciji bočnog tornja i središnjeg krovnog pokrova te na objavu natječaja za izbor ravnatelja u Narodnim novinama.</w:t>
      </w:r>
      <w:r w:rsidR="00476EF5">
        <w:t xml:space="preserve"> </w:t>
      </w:r>
    </w:p>
    <w:p w14:paraId="35693B2E" w14:textId="7F8D266D" w:rsidR="00A72479" w:rsidRDefault="00920C83" w:rsidP="00D0201E">
      <w:pPr>
        <w:pStyle w:val="Bezproreda"/>
      </w:pPr>
      <w:r>
        <w:rPr>
          <w:u w:val="single"/>
        </w:rPr>
        <w:t xml:space="preserve">Bilješka broj </w:t>
      </w:r>
      <w:r w:rsidR="0073753B">
        <w:rPr>
          <w:u w:val="single"/>
        </w:rPr>
        <w:t>61</w:t>
      </w:r>
      <w:r w:rsidR="00B229D9">
        <w:t>-Z</w:t>
      </w:r>
      <w:r w:rsidR="00A72479">
        <w:t>dravstvene i veterinarske usluge-3236-  u tekućem izvješt</w:t>
      </w:r>
      <w:r w:rsidR="00476EF5">
        <w:t xml:space="preserve">ajnom razdoblju iznos je </w:t>
      </w:r>
      <w:r w:rsidR="0073753B">
        <w:t>veći</w:t>
      </w:r>
      <w:r w:rsidR="00476EF5">
        <w:t xml:space="preserve"> zbog toga što </w:t>
      </w:r>
      <w:r w:rsidR="0073753B">
        <w:t xml:space="preserve">su </w:t>
      </w:r>
      <w:r w:rsidR="00476EF5">
        <w:t>svi radnici koji imaju pravo na obavljanje sistematskog pregleda pristupili istom</w:t>
      </w:r>
      <w:r w:rsidR="0073753B">
        <w:t xml:space="preserve"> te zbog povećanog broja laboratorijskih pretraga hrane i vode za piće u školskim kuhinjama.</w:t>
      </w:r>
    </w:p>
    <w:p w14:paraId="59243757" w14:textId="611DFEA0" w:rsidR="00884D76" w:rsidRDefault="00920C83" w:rsidP="00D0201E">
      <w:pPr>
        <w:pStyle w:val="Bezproreda"/>
      </w:pPr>
      <w:r>
        <w:rPr>
          <w:u w:val="single"/>
        </w:rPr>
        <w:t xml:space="preserve">Bilješka broj </w:t>
      </w:r>
      <w:r w:rsidR="0073753B">
        <w:rPr>
          <w:u w:val="single"/>
        </w:rPr>
        <w:t>62</w:t>
      </w:r>
      <w:r w:rsidR="00A72479">
        <w:t>-Intelektualne i osobne usluge</w:t>
      </w:r>
      <w:r w:rsidR="007870E7">
        <w:t>-3237</w:t>
      </w:r>
      <w:r w:rsidR="00A72479">
        <w:t>-</w:t>
      </w:r>
      <w:r w:rsidR="006067EB">
        <w:t>u</w:t>
      </w:r>
      <w:r w:rsidR="0011285B">
        <w:t xml:space="preserve"> </w:t>
      </w:r>
      <w:r w:rsidR="00476EF5">
        <w:t>tekućem</w:t>
      </w:r>
      <w:r w:rsidR="0011285B">
        <w:t xml:space="preserve"> izvještajnom razdoblju </w:t>
      </w:r>
      <w:r w:rsidR="00884D76">
        <w:t xml:space="preserve">iznos je veći zbog </w:t>
      </w:r>
      <w:r w:rsidR="0073753B">
        <w:t xml:space="preserve">plaćanja nadzora na izvršenim radovima na sanaciji krovnog tornja i zamjeni unutarnje stolarije te zbog </w:t>
      </w:r>
      <w:r w:rsidR="00A01393">
        <w:t xml:space="preserve">plaćanja </w:t>
      </w:r>
      <w:r w:rsidR="0073753B">
        <w:t xml:space="preserve">vanjske usluge provođenja javne nabave za navedene radove. </w:t>
      </w:r>
    </w:p>
    <w:p w14:paraId="53F5C5C9" w14:textId="0C2A93F4" w:rsidR="0011285B" w:rsidRDefault="00920C83" w:rsidP="00D0201E">
      <w:pPr>
        <w:pStyle w:val="Bezproreda"/>
      </w:pPr>
      <w:r>
        <w:rPr>
          <w:u w:val="single"/>
        </w:rPr>
        <w:t xml:space="preserve">Bilješka broj </w:t>
      </w:r>
      <w:r w:rsidR="0073753B">
        <w:rPr>
          <w:u w:val="single"/>
        </w:rPr>
        <w:t>6</w:t>
      </w:r>
      <w:r>
        <w:rPr>
          <w:u w:val="single"/>
        </w:rPr>
        <w:t>3</w:t>
      </w:r>
      <w:r w:rsidR="0011285B">
        <w:t xml:space="preserve">-Ostale usluge-3239- u tekućem izvještajnom razdoblju </w:t>
      </w:r>
      <w:r w:rsidR="0073753B">
        <w:t>su smanjene</w:t>
      </w:r>
      <w:r w:rsidR="00624958">
        <w:t xml:space="preserve"> zbog manjeg broja ostvarenih terenskih nastava</w:t>
      </w:r>
      <w:r w:rsidR="00884D76">
        <w:t>.</w:t>
      </w:r>
    </w:p>
    <w:p w14:paraId="44BE97DB" w14:textId="28C70D9B" w:rsidR="0073753B" w:rsidRDefault="00920C83" w:rsidP="00D0201E">
      <w:pPr>
        <w:pStyle w:val="Bezproreda"/>
      </w:pPr>
      <w:r>
        <w:rPr>
          <w:u w:val="single"/>
        </w:rPr>
        <w:t xml:space="preserve">Bilješka broj </w:t>
      </w:r>
      <w:r w:rsidR="0073753B">
        <w:rPr>
          <w:u w:val="single"/>
        </w:rPr>
        <w:t>6</w:t>
      </w:r>
      <w:r>
        <w:rPr>
          <w:u w:val="single"/>
        </w:rPr>
        <w:t>4</w:t>
      </w:r>
      <w:r w:rsidR="0011285B">
        <w:t>-Reprezentacija-3293- u tekućem izvješ</w:t>
      </w:r>
      <w:r w:rsidR="00884D76">
        <w:t xml:space="preserve">tajnom razdoblju iznos je </w:t>
      </w:r>
      <w:r w:rsidR="0073753B">
        <w:t>povećan</w:t>
      </w:r>
      <w:r w:rsidR="0011285B">
        <w:t xml:space="preserve"> iz razloga što je škola</w:t>
      </w:r>
      <w:r w:rsidR="00884D76">
        <w:t xml:space="preserve"> </w:t>
      </w:r>
      <w:r w:rsidR="0011285B">
        <w:t xml:space="preserve">bila domaćin u natjecanju iz Lidrana </w:t>
      </w:r>
      <w:r w:rsidR="00BB5B75">
        <w:t xml:space="preserve">te </w:t>
      </w:r>
      <w:r w:rsidR="0073753B">
        <w:t>je ugostila veći broj učenika i njihovih mentora iz naše županije.</w:t>
      </w:r>
      <w:r w:rsidR="00884D76">
        <w:t xml:space="preserve"> </w:t>
      </w:r>
    </w:p>
    <w:p w14:paraId="7800A7FE" w14:textId="70B380DD" w:rsidR="00BB5B75" w:rsidRDefault="00920C83" w:rsidP="00D0201E">
      <w:pPr>
        <w:pStyle w:val="Bezproreda"/>
      </w:pPr>
      <w:r>
        <w:rPr>
          <w:u w:val="single"/>
        </w:rPr>
        <w:t xml:space="preserve">Bilješka broj </w:t>
      </w:r>
      <w:r w:rsidR="0073753B">
        <w:rPr>
          <w:u w:val="single"/>
        </w:rPr>
        <w:t>6</w:t>
      </w:r>
      <w:r>
        <w:rPr>
          <w:u w:val="single"/>
        </w:rPr>
        <w:t>5</w:t>
      </w:r>
      <w:r w:rsidR="00BB5B75">
        <w:t xml:space="preserve">-Članarine i norme-3294-iznos je u tekućem izvještajnom razdoblju </w:t>
      </w:r>
      <w:r w:rsidR="0073753B">
        <w:t>manj</w:t>
      </w:r>
      <w:r w:rsidR="00BB5B75">
        <w:t xml:space="preserve">i zbog </w:t>
      </w:r>
      <w:r w:rsidR="0073753B">
        <w:t>manje plaćenih</w:t>
      </w:r>
      <w:r w:rsidR="00BB5B75">
        <w:t xml:space="preserve"> članarina</w:t>
      </w:r>
      <w:r w:rsidR="00884D76">
        <w:t>.</w:t>
      </w:r>
    </w:p>
    <w:p w14:paraId="6B53AC1F" w14:textId="536B2E43" w:rsidR="00BB5B75" w:rsidRDefault="00920C83" w:rsidP="00D0201E">
      <w:pPr>
        <w:pStyle w:val="Bezproreda"/>
      </w:pPr>
      <w:r>
        <w:rPr>
          <w:u w:val="single"/>
        </w:rPr>
        <w:t xml:space="preserve">Bilješka broj </w:t>
      </w:r>
      <w:r w:rsidR="0073753B">
        <w:rPr>
          <w:u w:val="single"/>
        </w:rPr>
        <w:t>6</w:t>
      </w:r>
      <w:r>
        <w:rPr>
          <w:u w:val="single"/>
        </w:rPr>
        <w:t>6</w:t>
      </w:r>
      <w:r w:rsidR="00BB5B75">
        <w:t>-Pristojbe i naknade-3295-u tekućem izvještajnom razdoblju iznos je veći zbog toga što je povećan iznos naknade zbog nezapošljavanja invalida</w:t>
      </w:r>
      <w:r w:rsidR="007870E7">
        <w:t>.</w:t>
      </w:r>
      <w:r w:rsidR="00BB5B75">
        <w:t xml:space="preserve"> </w:t>
      </w:r>
    </w:p>
    <w:p w14:paraId="552E3EBA" w14:textId="7228AD98" w:rsidR="00061DDB" w:rsidRDefault="00920C83" w:rsidP="00D0201E">
      <w:pPr>
        <w:pStyle w:val="Bezproreda"/>
      </w:pPr>
      <w:r>
        <w:rPr>
          <w:u w:val="single"/>
        </w:rPr>
        <w:t>Bilješka broj 6</w:t>
      </w:r>
      <w:r w:rsidR="00276E09">
        <w:rPr>
          <w:u w:val="single"/>
        </w:rPr>
        <w:t>7</w:t>
      </w:r>
      <w:r w:rsidR="00061DDB">
        <w:t>-Naknade građanima i kućanstvima u naravi-3722-u tekućem izvještajnom razdoblju iznos je veći zbog</w:t>
      </w:r>
      <w:r w:rsidR="002B3D28">
        <w:t xml:space="preserve"> većih cijena radnih bilježnica</w:t>
      </w:r>
      <w:r w:rsidR="00276E09">
        <w:t>.</w:t>
      </w:r>
      <w:r w:rsidR="002B3D28">
        <w:t xml:space="preserve"> </w:t>
      </w:r>
    </w:p>
    <w:p w14:paraId="7D8AF9BE" w14:textId="61AB24FA" w:rsidR="00325340" w:rsidRDefault="00325340" w:rsidP="00D0201E">
      <w:pPr>
        <w:pStyle w:val="Bezproreda"/>
      </w:pPr>
      <w:r w:rsidRPr="00C91E1F">
        <w:rPr>
          <w:u w:val="single"/>
        </w:rPr>
        <w:t xml:space="preserve">Bilješka broj </w:t>
      </w:r>
      <w:r w:rsidR="00920C83">
        <w:rPr>
          <w:u w:val="single"/>
        </w:rPr>
        <w:t>6</w:t>
      </w:r>
      <w:r w:rsidR="00276E09">
        <w:rPr>
          <w:u w:val="single"/>
        </w:rPr>
        <w:t>8</w:t>
      </w:r>
      <w:r>
        <w:t>-Uredska oprema i namještaj-4221-u</w:t>
      </w:r>
      <w:r w:rsidR="002C60FD">
        <w:t xml:space="preserve"> tekućem</w:t>
      </w:r>
      <w:r>
        <w:t xml:space="preserve"> izvj</w:t>
      </w:r>
      <w:r w:rsidR="00E372A9">
        <w:t>eštajnom razdoblju iznos je</w:t>
      </w:r>
      <w:r w:rsidR="00276E09">
        <w:t xml:space="preserve"> veći</w:t>
      </w:r>
      <w:r w:rsidR="00E372A9">
        <w:t>,</w:t>
      </w:r>
      <w:r w:rsidR="00CC4E1F">
        <w:t xml:space="preserve"> nabavljen</w:t>
      </w:r>
      <w:r w:rsidR="002C60FD">
        <w:t>a</w:t>
      </w:r>
      <w:r w:rsidR="00CC4E1F">
        <w:t xml:space="preserve"> su </w:t>
      </w:r>
      <w:r w:rsidR="002C60FD">
        <w:t xml:space="preserve">dva </w:t>
      </w:r>
      <w:r w:rsidR="00CC4E1F">
        <w:t>interaktivn</w:t>
      </w:r>
      <w:r w:rsidR="002C60FD">
        <w:t>a monitora</w:t>
      </w:r>
      <w:r w:rsidR="00CC4E1F">
        <w:t xml:space="preserve"> za učionice te</w:t>
      </w:r>
      <w:r w:rsidR="002C60FD">
        <w:t xml:space="preserve"> namještaj za dvije učionice</w:t>
      </w:r>
      <w:r w:rsidR="00CC4E1F">
        <w:t>.</w:t>
      </w:r>
    </w:p>
    <w:p w14:paraId="0A1CA57B" w14:textId="7AB628C6" w:rsidR="00325340" w:rsidRDefault="00920C83" w:rsidP="00D0201E">
      <w:pPr>
        <w:pStyle w:val="Bezproreda"/>
      </w:pPr>
      <w:r>
        <w:rPr>
          <w:u w:val="single"/>
        </w:rPr>
        <w:t>Bilješka broj 6</w:t>
      </w:r>
      <w:r w:rsidR="002C60FD">
        <w:rPr>
          <w:u w:val="single"/>
        </w:rPr>
        <w:t>9</w:t>
      </w:r>
      <w:r w:rsidR="00325340">
        <w:t xml:space="preserve">-Uređaji, strojevi i oprema za ostale namjene-4227-u </w:t>
      </w:r>
      <w:r w:rsidR="002C60FD">
        <w:t>tekućem</w:t>
      </w:r>
      <w:r w:rsidR="00325340">
        <w:t xml:space="preserve"> izvještajn</w:t>
      </w:r>
      <w:r w:rsidR="00F83AF3">
        <w:t>o</w:t>
      </w:r>
      <w:r w:rsidR="00325340">
        <w:t xml:space="preserve">m razdoblju iznos je </w:t>
      </w:r>
      <w:r w:rsidR="00CC4E1F">
        <w:t xml:space="preserve">manji, nabavljeni su </w:t>
      </w:r>
      <w:r w:rsidR="002C60FD">
        <w:t xml:space="preserve">bojler i ledenica za školske kuhinje te odvlaživači zraka dok je u prethodnom izvještajnom razdoblju iznos veći zbog </w:t>
      </w:r>
      <w:r w:rsidR="00CC4E1F">
        <w:t>nabave opreme potrebne za rad u školskim kuhinjama i to rashladnog ormara, perilice suđa, profesiona</w:t>
      </w:r>
      <w:r w:rsidR="00E307A1">
        <w:t>lne miješalice i salamoreznice</w:t>
      </w:r>
      <w:r w:rsidR="002C60FD">
        <w:t>.</w:t>
      </w:r>
    </w:p>
    <w:p w14:paraId="335B4B12" w14:textId="7DC48FA7" w:rsidR="00325340" w:rsidRDefault="007F2794" w:rsidP="00D0201E">
      <w:pPr>
        <w:pStyle w:val="Bezproreda"/>
      </w:pPr>
      <w:r>
        <w:rPr>
          <w:u w:val="single"/>
        </w:rPr>
        <w:t xml:space="preserve">Bilješka broj </w:t>
      </w:r>
      <w:r w:rsidR="002C60FD">
        <w:rPr>
          <w:u w:val="single"/>
        </w:rPr>
        <w:t>70</w:t>
      </w:r>
      <w:r w:rsidR="00325340">
        <w:t>-Knjige-4241- u tekućem izvje</w:t>
      </w:r>
      <w:r w:rsidR="00CC4E1F">
        <w:t xml:space="preserve">štajnom razdoblju iznos je </w:t>
      </w:r>
      <w:r w:rsidR="002C60FD">
        <w:t>manj</w:t>
      </w:r>
      <w:r w:rsidR="00CC4E1F">
        <w:t xml:space="preserve">i </w:t>
      </w:r>
      <w:r w:rsidR="002C60FD">
        <w:t xml:space="preserve">u odnosu na prethodno, nabavljen je manji broj </w:t>
      </w:r>
      <w:r w:rsidR="00CC4E1F">
        <w:t>udžbenika</w:t>
      </w:r>
      <w:r w:rsidR="002C60FD">
        <w:t xml:space="preserve"> nego u prethodnom izvještajnom razdoblju jer se koriste udžbenici nabavljeni prijašnjih godina.</w:t>
      </w:r>
      <w:r w:rsidR="00325340">
        <w:t xml:space="preserve"> </w:t>
      </w:r>
    </w:p>
    <w:p w14:paraId="6DA7CA5B" w14:textId="3BCB19BC" w:rsidR="00C91E1F" w:rsidRDefault="007F2794" w:rsidP="00A32086">
      <w:pPr>
        <w:pStyle w:val="Bezproreda"/>
      </w:pPr>
      <w:r>
        <w:rPr>
          <w:u w:val="single"/>
        </w:rPr>
        <w:t xml:space="preserve">Bilješka broj </w:t>
      </w:r>
      <w:r w:rsidR="002C60FD">
        <w:rPr>
          <w:u w:val="single"/>
        </w:rPr>
        <w:t>71</w:t>
      </w:r>
      <w:r w:rsidR="00F83AF3">
        <w:t xml:space="preserve">-Dodatna ulaganja na građevinskim objektima-451- u </w:t>
      </w:r>
      <w:r w:rsidR="00A32086">
        <w:t xml:space="preserve">prethodnom izvještajnom razdoblju ostvareno je </w:t>
      </w:r>
      <w:r w:rsidR="00CC4E1F">
        <w:t>22.305,00 eura</w:t>
      </w:r>
      <w:r w:rsidR="00A32086">
        <w:t xml:space="preserve"> i odnosi se na </w:t>
      </w:r>
      <w:r w:rsidR="00CC4E1F">
        <w:t>i</w:t>
      </w:r>
      <w:r w:rsidR="00A32086">
        <w:t xml:space="preserve">zmjenu unutarnje stolarije-vrata na učionicama </w:t>
      </w:r>
      <w:r w:rsidR="00CC4E1F">
        <w:t>19.805,00 eura i to iz državnog proračuna, (natječaj Ministarstva kulture</w:t>
      </w:r>
      <w:r w:rsidR="00E307A1">
        <w:t>) 13.272,28 eura,</w:t>
      </w:r>
      <w:r w:rsidR="00A32086">
        <w:t xml:space="preserve"> iz decentraliziranih sredstava</w:t>
      </w:r>
      <w:r w:rsidR="00E307A1">
        <w:t xml:space="preserve"> 3.681</w:t>
      </w:r>
      <w:r w:rsidR="002C60FD">
        <w:t>,00</w:t>
      </w:r>
      <w:r w:rsidR="00E307A1">
        <w:t xml:space="preserve"> eura</w:t>
      </w:r>
      <w:r>
        <w:t xml:space="preserve">, </w:t>
      </w:r>
      <w:r w:rsidR="00A32086">
        <w:t xml:space="preserve">dok je preostalih </w:t>
      </w:r>
      <w:r w:rsidR="00E307A1">
        <w:t>2.851,72 eura</w:t>
      </w:r>
      <w:r w:rsidR="00A32086">
        <w:t xml:space="preserve"> podmireno iz </w:t>
      </w:r>
      <w:r w:rsidR="00E307A1">
        <w:t>prenesenog viška prihoda poslovanja prethodne godine.</w:t>
      </w:r>
    </w:p>
    <w:p w14:paraId="2E940310" w14:textId="01EB37AC" w:rsidR="00E307A1" w:rsidRDefault="00E307A1" w:rsidP="00A32086">
      <w:pPr>
        <w:pStyle w:val="Bezproreda"/>
      </w:pPr>
      <w:r>
        <w:t xml:space="preserve">2.500,00 eura odnosi se na postavljanje skele izvođaču radova na sanaciji tornja na krovu matične škole u Krapini (građevinski radovi u pripremi). Za navedene radove dio potrebnih sredstava je </w:t>
      </w:r>
      <w:r>
        <w:lastRenderedPageBreak/>
        <w:t xml:space="preserve">primljen u 2023. godini iz državnog proračuna (natječaj Ministarstva kulture), a cjelokupni radovi </w:t>
      </w:r>
      <w:r w:rsidR="002C60FD">
        <w:t>su</w:t>
      </w:r>
      <w:r>
        <w:t xml:space="preserve"> završeni u 2024. godini.</w:t>
      </w:r>
    </w:p>
    <w:p w14:paraId="43BBAF4B" w14:textId="64EBDFF3" w:rsidR="00DC06EB" w:rsidRPr="00DC06EB" w:rsidRDefault="002C60FD" w:rsidP="00DC06EB">
      <w:pPr>
        <w:pStyle w:val="Bezproreda"/>
        <w:rPr>
          <w:rFonts w:cstheme="minorHAnsi"/>
        </w:rPr>
      </w:pPr>
      <w:r>
        <w:t>U tekućem izvještajnom razdoblju ostvaren je znatno veći iznos</w:t>
      </w:r>
      <w:r w:rsidR="00DC06EB">
        <w:t>;</w:t>
      </w:r>
      <w:r w:rsidR="00DC06EB" w:rsidRPr="00DC06EB">
        <w:rPr>
          <w:rFonts w:cstheme="minorHAnsi"/>
        </w:rPr>
        <w:t xml:space="preserve"> ukupno </w:t>
      </w:r>
      <w:r w:rsidR="00DC06EB" w:rsidRPr="00BD74BF">
        <w:rPr>
          <w:rFonts w:cstheme="minorHAnsi"/>
        </w:rPr>
        <w:t>196.159,63 eura</w:t>
      </w:r>
      <w:r w:rsidR="00BD74BF">
        <w:rPr>
          <w:rFonts w:cstheme="minorHAnsi"/>
        </w:rPr>
        <w:t>.</w:t>
      </w:r>
      <w:r w:rsidR="00DC06EB" w:rsidRPr="00DC06EB">
        <w:rPr>
          <w:rFonts w:cstheme="minorHAnsi"/>
        </w:rPr>
        <w:t xml:space="preserve"> Odnos</w:t>
      </w:r>
      <w:r w:rsidR="00DC06EB">
        <w:rPr>
          <w:rFonts w:cstheme="minorHAnsi"/>
        </w:rPr>
        <w:t>i</w:t>
      </w:r>
      <w:r w:rsidR="00DC06EB" w:rsidRPr="00DC06EB">
        <w:rPr>
          <w:rFonts w:cstheme="minorHAnsi"/>
        </w:rPr>
        <w:t xml:space="preserve"> se na dodatna ulaganja na građevinskim objektima –za izmjenu unutarnje stolarije-vrata na učionicama i drugim prostorijama utrošeno </w:t>
      </w:r>
      <w:r w:rsidR="00DC06EB">
        <w:rPr>
          <w:rFonts w:cstheme="minorHAnsi"/>
        </w:rPr>
        <w:t xml:space="preserve">je </w:t>
      </w:r>
      <w:r w:rsidR="00DC06EB" w:rsidRPr="00DC06EB">
        <w:rPr>
          <w:rFonts w:cstheme="minorHAnsi"/>
        </w:rPr>
        <w:t>18.450,00 eura i to iz državnog proračuna (natječaj Ministarstva kulture) 16.000,00 eura, a iz sredstava Grada iznad minimalnog financijskog standarda 2.450,00 eura. 177.709,63 eura ukupno je utrošeno za radove na sanaciji sjevernog i južnog bočnog tornja te središnjeg limenog pokrova na krovu matične škole u Krapini što je financirano sredstvima Ministarstva kulture 100.000,00 eura i Grada Krapine iznad minimalnog financijskog standarda 53.665,07 eura te prenesenim viškom prihoda iz prethodne godine 24.044,56 eura jer je Ministarstvo kulture izvršilo uplatu na naš žiro račun u 2023. godini, a radovi su završeni u 2024.godini.</w:t>
      </w:r>
    </w:p>
    <w:p w14:paraId="1240993B" w14:textId="77777777" w:rsidR="00DC06EB" w:rsidRPr="00DC06EB" w:rsidRDefault="00DC06EB" w:rsidP="00DC06EB">
      <w:pPr>
        <w:pStyle w:val="Bezproreda"/>
        <w:rPr>
          <w:rFonts w:cstheme="minorHAnsi"/>
        </w:rPr>
      </w:pPr>
    </w:p>
    <w:p w14:paraId="439E1180" w14:textId="28D0FF90" w:rsidR="008331A8" w:rsidRDefault="008331A8" w:rsidP="008331A8">
      <w:pPr>
        <w:pStyle w:val="Bezproreda"/>
      </w:pPr>
      <w:r w:rsidRPr="008331A8">
        <w:rPr>
          <w:u w:val="single"/>
        </w:rPr>
        <w:t xml:space="preserve">Bilješka broj </w:t>
      </w:r>
      <w:r w:rsidR="00DC06EB">
        <w:rPr>
          <w:u w:val="single"/>
        </w:rPr>
        <w:t>72</w:t>
      </w:r>
      <w:r>
        <w:t>-Rashodi budućih razdoblja-19-odnosi se na troškove plaće</w:t>
      </w:r>
      <w:r w:rsidR="001259AC">
        <w:t xml:space="preserve"> i naknada</w:t>
      </w:r>
      <w:r>
        <w:t xml:space="preserve"> za 12/202</w:t>
      </w:r>
      <w:r w:rsidR="00DC06EB">
        <w:t>4</w:t>
      </w:r>
      <w:r>
        <w:t>. koji su isplaćeni u siječnju 202</w:t>
      </w:r>
      <w:r w:rsidR="00DC06EB">
        <w:t>5</w:t>
      </w:r>
      <w:r>
        <w:t>., u tekućem izvještajnom razdoblju iznos je veći zbog povećanja osnov</w:t>
      </w:r>
      <w:r w:rsidR="001259AC">
        <w:t>i</w:t>
      </w:r>
      <w:r>
        <w:t>ce za obračun plaće.</w:t>
      </w:r>
    </w:p>
    <w:p w14:paraId="51DA883F" w14:textId="76218EA5" w:rsidR="00C91E1F" w:rsidRDefault="00C91E1F" w:rsidP="008331A8">
      <w:pPr>
        <w:pStyle w:val="Bezproreda"/>
      </w:pPr>
      <w:r>
        <w:t xml:space="preserve">Promjene na ostalim pozicijama Obrasca PR-RAS </w:t>
      </w:r>
      <w:r w:rsidR="00DC06EB">
        <w:t xml:space="preserve">u odnosu na prethodno razdoblje </w:t>
      </w:r>
      <w:r>
        <w:t>su neznatne i nemaju značajnijeg  utjecaja na poslovanje</w:t>
      </w:r>
      <w:r w:rsidR="00DC06EB">
        <w:t>.</w:t>
      </w:r>
    </w:p>
    <w:p w14:paraId="312D6FF5" w14:textId="67B5CDA7" w:rsidR="00BF7668" w:rsidRDefault="00BF7668" w:rsidP="008331A8">
      <w:pPr>
        <w:pStyle w:val="Bezproreda"/>
      </w:pPr>
    </w:p>
    <w:p w14:paraId="449F6412" w14:textId="2DEB972D" w:rsidR="00BF7668" w:rsidRDefault="007F2794" w:rsidP="008331A8">
      <w:pPr>
        <w:pStyle w:val="Bezproreda"/>
      </w:pPr>
      <w:r>
        <w:rPr>
          <w:u w:val="single"/>
        </w:rPr>
        <w:t xml:space="preserve">Bilješka broj </w:t>
      </w:r>
      <w:r w:rsidR="00DC06EB">
        <w:rPr>
          <w:u w:val="single"/>
        </w:rPr>
        <w:t>73</w:t>
      </w:r>
      <w:r w:rsidR="00BF7668">
        <w:t>-</w:t>
      </w:r>
      <w:r w:rsidR="00C05783">
        <w:t xml:space="preserve"> Rezultat poslovanja usporedno prikazan na </w:t>
      </w:r>
      <w:r w:rsidR="001259AC">
        <w:t>O</w:t>
      </w:r>
      <w:r w:rsidR="00C05783">
        <w:t>brascu PR-RAS</w:t>
      </w:r>
      <w:r w:rsidR="001259AC">
        <w:t>-a</w:t>
      </w:r>
      <w:r w:rsidR="00C05783">
        <w:t xml:space="preserve"> </w:t>
      </w:r>
      <w:r w:rsidR="00B72491">
        <w:t>i Bilance</w:t>
      </w:r>
    </w:p>
    <w:p w14:paraId="35E9E85E" w14:textId="77777777" w:rsidR="006864FA" w:rsidRDefault="006864FA" w:rsidP="008331A8">
      <w:pPr>
        <w:pStyle w:val="Bezproreda"/>
      </w:pPr>
    </w:p>
    <w:p w14:paraId="101B4880" w14:textId="51922866" w:rsidR="00834E51" w:rsidRDefault="00834E51" w:rsidP="00834E51">
      <w:r w:rsidRPr="00D21137">
        <w:t>Prilikom utvrđivanja rezultata poslovanja sučeljavaju se  razred 6 i razred 3, te razred 7 i razred 4, pa</w:t>
      </w:r>
      <w:r w:rsidR="00C05783">
        <w:t xml:space="preserve"> je</w:t>
      </w:r>
      <w:r w:rsidRPr="00D21137">
        <w:t xml:space="preserve"> tako</w:t>
      </w:r>
      <w:r w:rsidR="00C05783">
        <w:t xml:space="preserve"> na obrascu PR-RAS prikazano slijedeće:</w:t>
      </w:r>
    </w:p>
    <w:p w14:paraId="08EBCE58" w14:textId="77777777" w:rsidR="001E4A37" w:rsidRPr="00C62C22" w:rsidRDefault="001E4A37" w:rsidP="00C62C22">
      <w:pPr>
        <w:pStyle w:val="Bezproreda"/>
        <w:rPr>
          <w:b/>
          <w:u w:val="single"/>
        </w:rPr>
      </w:pPr>
      <w:r w:rsidRPr="00C62C22">
        <w:rPr>
          <w:b/>
          <w:u w:val="single"/>
        </w:rPr>
        <w:t>6 (prihodi)</w:t>
      </w:r>
      <w:r w:rsidRPr="00C62C22">
        <w:rPr>
          <w:b/>
          <w:u w:val="single"/>
        </w:rPr>
        <w:tab/>
        <w:t>-       3 (rashodi)</w:t>
      </w:r>
    </w:p>
    <w:p w14:paraId="148C266F" w14:textId="58EDC842" w:rsidR="001E4A37" w:rsidRDefault="00B72491" w:rsidP="00EE227E">
      <w:pPr>
        <w:pStyle w:val="Bezproreda"/>
      </w:pPr>
      <w:r>
        <w:t>2.428.153,62</w:t>
      </w:r>
      <w:r w:rsidR="001E4A37">
        <w:tab/>
        <w:t>-    2</w:t>
      </w:r>
      <w:r>
        <w:t>.236.003,51</w:t>
      </w:r>
      <w:r w:rsidR="001E4A37" w:rsidRPr="00D21137">
        <w:tab/>
        <w:t>=</w:t>
      </w:r>
      <w:r>
        <w:tab/>
        <w:t>192.15</w:t>
      </w:r>
      <w:r w:rsidR="00A01393">
        <w:t>0</w:t>
      </w:r>
      <w:r>
        <w:t>,11</w:t>
      </w:r>
      <w:r w:rsidR="001E4A37" w:rsidRPr="00D21137">
        <w:t xml:space="preserve"> (višak prihoda poslovanja</w:t>
      </w:r>
      <w:r w:rsidR="00EE227E">
        <w:t>-X001</w:t>
      </w:r>
      <w:r w:rsidR="001E4A37" w:rsidRPr="00D21137">
        <w:t>)</w:t>
      </w:r>
    </w:p>
    <w:p w14:paraId="4CC4450D" w14:textId="6081F33F" w:rsidR="00EE227E" w:rsidRPr="00EE227E" w:rsidRDefault="00EE227E" w:rsidP="00EE227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</w:p>
    <w:p w14:paraId="5FAB3A21" w14:textId="6F020735" w:rsidR="001E4A37" w:rsidRPr="00C62C22" w:rsidRDefault="00EE227E" w:rsidP="00C62C22">
      <w:pPr>
        <w:pStyle w:val="Bezproreda"/>
        <w:rPr>
          <w:b/>
          <w:u w:val="single"/>
        </w:rPr>
      </w:pPr>
      <w:r>
        <w:rPr>
          <w:b/>
          <w:u w:val="single"/>
        </w:rPr>
        <w:t>7</w:t>
      </w:r>
      <w:r w:rsidR="001E4A37" w:rsidRPr="00C62C22">
        <w:rPr>
          <w:b/>
          <w:u w:val="single"/>
        </w:rPr>
        <w:t xml:space="preserve"> (prihodi)</w:t>
      </w:r>
      <w:r w:rsidR="001E4A37" w:rsidRPr="00C62C22">
        <w:rPr>
          <w:b/>
          <w:u w:val="single"/>
        </w:rPr>
        <w:tab/>
        <w:t>-       4 (rashodi)</w:t>
      </w:r>
    </w:p>
    <w:p w14:paraId="46E1DA9B" w14:textId="7D2F2700" w:rsidR="001E4A37" w:rsidRDefault="001E4A37" w:rsidP="00C62C22">
      <w:pPr>
        <w:pStyle w:val="Bezproreda"/>
      </w:pPr>
      <w:r w:rsidRPr="00D21137">
        <w:t xml:space="preserve">      </w:t>
      </w:r>
      <w:r w:rsidR="00EE227E">
        <w:t xml:space="preserve">   </w:t>
      </w:r>
      <w:r w:rsidRPr="00D21137">
        <w:t xml:space="preserve"> </w:t>
      </w:r>
      <w:r>
        <w:t xml:space="preserve"> 101,52</w:t>
      </w:r>
      <w:r>
        <w:tab/>
        <w:t xml:space="preserve">-      </w:t>
      </w:r>
      <w:r w:rsidR="00B72491">
        <w:t>210.288,14</w:t>
      </w:r>
      <w:r w:rsidRPr="00D21137">
        <w:tab/>
      </w:r>
      <w:r w:rsidRPr="00370C45">
        <w:t xml:space="preserve">         </w:t>
      </w:r>
      <w:r w:rsidR="00EE227E">
        <w:tab/>
      </w:r>
      <w:r w:rsidR="00EE227E" w:rsidRPr="00EE227E">
        <w:rPr>
          <w:u w:val="single"/>
        </w:rPr>
        <w:t>=</w:t>
      </w:r>
      <w:r w:rsidR="00B72491">
        <w:rPr>
          <w:u w:val="single"/>
        </w:rPr>
        <w:t xml:space="preserve">          -210.186,62</w:t>
      </w:r>
      <w:r w:rsidRPr="00EE227E">
        <w:rPr>
          <w:u w:val="single"/>
        </w:rPr>
        <w:t xml:space="preserve"> (</w:t>
      </w:r>
      <w:r w:rsidRPr="00EE227E">
        <w:rPr>
          <w:iCs/>
          <w:u w:val="single"/>
        </w:rPr>
        <w:t>manjak prihoda od nef</w:t>
      </w:r>
      <w:r w:rsidR="00EE227E" w:rsidRPr="00EE227E">
        <w:rPr>
          <w:iCs/>
          <w:u w:val="single"/>
        </w:rPr>
        <w:t xml:space="preserve">. </w:t>
      </w:r>
      <w:r w:rsidRPr="00EE227E">
        <w:rPr>
          <w:iCs/>
          <w:u w:val="single"/>
        </w:rPr>
        <w:t>imovine</w:t>
      </w:r>
      <w:r w:rsidR="00EE227E" w:rsidRPr="00EE227E">
        <w:rPr>
          <w:iCs/>
          <w:u w:val="single"/>
        </w:rPr>
        <w:t xml:space="preserve"> Y002</w:t>
      </w:r>
      <w:r w:rsidRPr="00EE227E">
        <w:rPr>
          <w:iCs/>
          <w:u w:val="single"/>
        </w:rPr>
        <w:t>)</w:t>
      </w:r>
    </w:p>
    <w:p w14:paraId="618C453F" w14:textId="455D9405" w:rsidR="001E4A37" w:rsidRPr="00B72491" w:rsidRDefault="001E4A37" w:rsidP="00B72491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="00B72491">
        <w:t>-18.036,51</w:t>
      </w:r>
      <w:r w:rsidR="00EE227E">
        <w:t xml:space="preserve"> (X005)</w:t>
      </w:r>
    </w:p>
    <w:p w14:paraId="7A790A39" w14:textId="77777777" w:rsidR="00A2626C" w:rsidRDefault="00A2626C" w:rsidP="00C62C22">
      <w:pPr>
        <w:pStyle w:val="Bezproreda"/>
      </w:pPr>
    </w:p>
    <w:p w14:paraId="5D497307" w14:textId="43FD6D12" w:rsidR="001E4A37" w:rsidRPr="00C62C22" w:rsidRDefault="001E4A37" w:rsidP="00C62C22">
      <w:pPr>
        <w:pStyle w:val="Bezproreda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C62C22">
        <w:rPr>
          <w:u w:val="single"/>
        </w:rPr>
        <w:t>+</w:t>
      </w:r>
      <w:r w:rsidRPr="00C62C22">
        <w:rPr>
          <w:u w:val="single"/>
        </w:rPr>
        <w:tab/>
      </w:r>
      <w:r w:rsidR="00B72491">
        <w:rPr>
          <w:u w:val="single"/>
        </w:rPr>
        <w:t>20.336,67</w:t>
      </w:r>
      <w:r w:rsidRPr="00C62C22">
        <w:rPr>
          <w:u w:val="single"/>
        </w:rPr>
        <w:t xml:space="preserve"> (višak prihoda iz 202</w:t>
      </w:r>
      <w:r w:rsidR="00B72491">
        <w:rPr>
          <w:u w:val="single"/>
        </w:rPr>
        <w:t>3</w:t>
      </w:r>
      <w:r w:rsidRPr="00C62C22">
        <w:rPr>
          <w:u w:val="single"/>
        </w:rPr>
        <w:t>.</w:t>
      </w:r>
      <w:r w:rsidR="00EE227E">
        <w:rPr>
          <w:u w:val="single"/>
        </w:rPr>
        <w:t xml:space="preserve"> 9221-9222</w:t>
      </w:r>
      <w:r w:rsidRPr="00C62C22">
        <w:rPr>
          <w:u w:val="single"/>
        </w:rPr>
        <w:t>)</w:t>
      </w:r>
    </w:p>
    <w:p w14:paraId="65CEB805" w14:textId="55A764FB" w:rsidR="001E4A37" w:rsidRDefault="001E4A37" w:rsidP="001E4A37">
      <w:r>
        <w:tab/>
      </w:r>
      <w:r>
        <w:tab/>
      </w:r>
      <w:r>
        <w:tab/>
      </w:r>
      <w:r>
        <w:tab/>
      </w:r>
      <w:r>
        <w:tab/>
        <w:t xml:space="preserve">=           </w:t>
      </w:r>
      <w:r w:rsidR="00EE227E">
        <w:t xml:space="preserve"> </w:t>
      </w:r>
      <w:r w:rsidR="00B72491">
        <w:t xml:space="preserve">  2.300,16</w:t>
      </w:r>
      <w:r>
        <w:t xml:space="preserve"> (višak prihoda 202</w:t>
      </w:r>
      <w:r w:rsidR="00B72491">
        <w:t>4</w:t>
      </w:r>
      <w:r>
        <w:t>.</w:t>
      </w:r>
      <w:r w:rsidR="00001A27">
        <w:t xml:space="preserve"> PR-RAS pozicija</w:t>
      </w:r>
      <w:r w:rsidR="00EE227E">
        <w:t>-X006</w:t>
      </w:r>
      <w:r>
        <w:t>)</w:t>
      </w:r>
    </w:p>
    <w:p w14:paraId="1EC5AB4F" w14:textId="2906F097" w:rsidR="001E4A37" w:rsidRDefault="001E4A37" w:rsidP="001E4A37">
      <w:r w:rsidRPr="000D5412">
        <w:t>Preneseni višak prihoda iz 202</w:t>
      </w:r>
      <w:r w:rsidR="00B72491">
        <w:t>3</w:t>
      </w:r>
      <w:r w:rsidRPr="000D5412">
        <w:t xml:space="preserve">. godine iznosio je </w:t>
      </w:r>
      <w:r w:rsidR="00B72491">
        <w:t>21.884,85</w:t>
      </w:r>
      <w:r w:rsidRPr="000D5412">
        <w:t xml:space="preserve"> eura, ali je zbog neiskorištenih, unaprijed primljenih sredstava za provođenje školske sheme izvršen povrat u gradski proračun</w:t>
      </w:r>
      <w:r>
        <w:t xml:space="preserve"> u iznosu </w:t>
      </w:r>
      <w:r w:rsidR="00B72491">
        <w:t>237,16</w:t>
      </w:r>
      <w:r>
        <w:t xml:space="preserve"> eura</w:t>
      </w:r>
      <w:r w:rsidR="00DA3DC7">
        <w:t xml:space="preserve"> i</w:t>
      </w:r>
      <w:r w:rsidR="00634C79">
        <w:t xml:space="preserve"> </w:t>
      </w:r>
      <w:r w:rsidR="00B72491">
        <w:t>neiskorišteni iznos za prehranu učenika za prosinac 2023.god. 1.311,02 eura</w:t>
      </w:r>
      <w:r w:rsidR="00634C79">
        <w:t xml:space="preserve">, </w:t>
      </w:r>
      <w:r w:rsidRPr="000D5412">
        <w:t xml:space="preserve">te on sada iznosi </w:t>
      </w:r>
      <w:r w:rsidR="00B72491">
        <w:t>20.336,67</w:t>
      </w:r>
      <w:r w:rsidRPr="000D5412">
        <w:t xml:space="preserve"> eura.</w:t>
      </w:r>
    </w:p>
    <w:p w14:paraId="485B8D72" w14:textId="1BD2B980" w:rsidR="001E4A37" w:rsidRPr="00D21137" w:rsidRDefault="001E4A37" w:rsidP="001E4A37">
      <w:r w:rsidRPr="00D21137">
        <w:t xml:space="preserve">Sukladno odredbama </w:t>
      </w:r>
      <w:r>
        <w:t xml:space="preserve">čl.82. </w:t>
      </w:r>
      <w:r w:rsidRPr="00D21137">
        <w:t>Pravilnika o proračunskom računovodstvu i računskom planu rezultat se obavezno korigi</w:t>
      </w:r>
      <w:r>
        <w:t>ra bez suglasnosti čelnika ili školskog odbora</w:t>
      </w:r>
      <w:r w:rsidRPr="00D21137">
        <w:t xml:space="preserve"> sa 31.12.20</w:t>
      </w:r>
      <w:r>
        <w:t>2</w:t>
      </w:r>
      <w:r w:rsidR="00FD6155">
        <w:t>4</w:t>
      </w:r>
      <w:r w:rsidRPr="00D21137">
        <w:t>. god. za iznose evidentirane na računima 63121, 63122, 63221,63241,</w:t>
      </w:r>
      <w:r>
        <w:t xml:space="preserve"> 6332, </w:t>
      </w:r>
      <w:r w:rsidRPr="00D21137">
        <w:t xml:space="preserve">6342, 6352, </w:t>
      </w:r>
      <w:r>
        <w:t>6362, 6382, 6392, 6394, 6632,</w:t>
      </w:r>
      <w:r w:rsidRPr="00D21137">
        <w:t xml:space="preserve"> 67121 </w:t>
      </w:r>
      <w:r>
        <w:t xml:space="preserve"> budući da su sredstva za nabavu nefinancijske imovine evidentirana na razredu 6 te shodno utvrđivanju rezultata utjecala na ostvarivanje rezultata od redovnog poslovanja. Druga obvezna korekcija je ako su sredstva od prodaje dugotrajne nefinancijske imovine (stanovi) na razredu 7 korištena za financiranje rashoda za tekuće i investicijsko održavanje (3224 i 3232),</w:t>
      </w:r>
      <w:r w:rsidR="00CB39BD">
        <w:t xml:space="preserve"> </w:t>
      </w:r>
      <w:r w:rsidR="00FD6155">
        <w:t xml:space="preserve">a ukoliko su utrošena na </w:t>
      </w:r>
      <w:r w:rsidR="00DA3DC7">
        <w:t>nabavu</w:t>
      </w:r>
      <w:r w:rsidR="00FD6155">
        <w:t xml:space="preserve"> nefinancijske imovine korekcija nije potrebna, </w:t>
      </w:r>
      <w:r w:rsidR="00CB39BD">
        <w:t>pa je tako na obrasc</w:t>
      </w:r>
      <w:r w:rsidR="001B4622">
        <w:t>ima PR-RAS i</w:t>
      </w:r>
      <w:r w:rsidR="00CB39BD">
        <w:t xml:space="preserve"> Bilanca prikazano sljedeće</w:t>
      </w:r>
      <w:r w:rsidRPr="00D21137">
        <w:t>:</w:t>
      </w:r>
    </w:p>
    <w:p w14:paraId="084E0EDF" w14:textId="77777777" w:rsidR="00FD6155" w:rsidRDefault="001E4A37" w:rsidP="00001A27">
      <w:pPr>
        <w:pStyle w:val="Bezproreda"/>
      </w:pPr>
      <w:r>
        <w:tab/>
      </w:r>
      <w:r w:rsidRPr="00D21137">
        <w:tab/>
      </w:r>
    </w:p>
    <w:p w14:paraId="6D2F7758" w14:textId="77777777" w:rsidR="00FD6155" w:rsidRDefault="00FD6155" w:rsidP="00001A27">
      <w:pPr>
        <w:pStyle w:val="Bezproreda"/>
      </w:pPr>
    </w:p>
    <w:p w14:paraId="7B4E2CBF" w14:textId="44191746" w:rsidR="001E4A37" w:rsidRDefault="00FD6155" w:rsidP="00FD6155">
      <w:pPr>
        <w:pStyle w:val="Bezproreda"/>
        <w:ind w:left="708" w:firstLine="708"/>
      </w:pPr>
      <w:r>
        <w:rPr>
          <w:bCs/>
        </w:rPr>
        <w:lastRenderedPageBreak/>
        <w:t xml:space="preserve">  192.150,11</w:t>
      </w:r>
      <w:r w:rsidR="001E4A37" w:rsidRPr="00D21137">
        <w:t xml:space="preserve">  višak prihoda poslovanja</w:t>
      </w:r>
    </w:p>
    <w:p w14:paraId="01178F88" w14:textId="31C980CC" w:rsidR="001E4A37" w:rsidRDefault="00CB39BD" w:rsidP="00001A27">
      <w:pPr>
        <w:pStyle w:val="Bezproreda"/>
      </w:pPr>
      <w:r>
        <w:tab/>
      </w:r>
      <w:r w:rsidR="00FD6155">
        <w:t xml:space="preserve">               </w:t>
      </w:r>
      <w:r>
        <w:t>-</w:t>
      </w:r>
      <w:r w:rsidR="00FD6155">
        <w:t>118.834,79</w:t>
      </w:r>
      <w:r w:rsidR="001E4A37">
        <w:t xml:space="preserve">  konto 6362-kapitalne pomoći iz državnog proračuna </w:t>
      </w:r>
    </w:p>
    <w:p w14:paraId="7FE9F67F" w14:textId="104DFF68" w:rsidR="001E4A37" w:rsidRPr="00D21137" w:rsidRDefault="00CB39BD" w:rsidP="00001A27">
      <w:pPr>
        <w:pStyle w:val="Bezproreda"/>
      </w:pPr>
      <w:r>
        <w:tab/>
        <w:t xml:space="preserve">                  </w:t>
      </w:r>
      <w:r w:rsidR="00FD6155">
        <w:t xml:space="preserve">   </w:t>
      </w:r>
      <w:r>
        <w:t xml:space="preserve">  -</w:t>
      </w:r>
      <w:r w:rsidR="00FD6155">
        <w:t>413,52</w:t>
      </w:r>
      <w:r w:rsidR="001E4A37" w:rsidRPr="00D21137">
        <w:t xml:space="preserve">  konto 6632-kapitalne donacije</w:t>
      </w:r>
      <w:r w:rsidR="001E4A37">
        <w:t xml:space="preserve"> (knjige za šk.knjižnicu)</w:t>
      </w:r>
    </w:p>
    <w:p w14:paraId="4DA258C7" w14:textId="487FE49B" w:rsidR="001E4A37" w:rsidRPr="00FD6155" w:rsidRDefault="00CB39BD" w:rsidP="00001A27">
      <w:pPr>
        <w:pStyle w:val="Bezproreda"/>
        <w:rPr>
          <w:u w:val="single"/>
        </w:rPr>
      </w:pPr>
      <w:r>
        <w:t xml:space="preserve">                               </w:t>
      </w:r>
      <w:r w:rsidR="00FD6155">
        <w:t xml:space="preserve"> </w:t>
      </w:r>
      <w:r w:rsidRPr="00FD6155">
        <w:rPr>
          <w:u w:val="single"/>
        </w:rPr>
        <w:t>-</w:t>
      </w:r>
      <w:r w:rsidR="00FD6155" w:rsidRPr="00FD6155">
        <w:rPr>
          <w:u w:val="single"/>
        </w:rPr>
        <w:t>63.415,07</w:t>
      </w:r>
      <w:r w:rsidR="001E4A37" w:rsidRPr="00FD6155">
        <w:rPr>
          <w:u w:val="single"/>
        </w:rPr>
        <w:t xml:space="preserve">  konto 67121- prihodi za fin.rashoda za nabavu nef.imovine</w:t>
      </w:r>
    </w:p>
    <w:p w14:paraId="6834AC39" w14:textId="6DCD2FB2" w:rsidR="001E4A37" w:rsidRPr="00001A27" w:rsidRDefault="00CB39BD" w:rsidP="00001A27">
      <w:pPr>
        <w:pStyle w:val="Bezproreda"/>
        <w:rPr>
          <w:u w:val="single"/>
        </w:rPr>
      </w:pPr>
      <w:r>
        <w:tab/>
      </w:r>
      <w:r>
        <w:tab/>
        <w:t xml:space="preserve">  </w:t>
      </w:r>
      <w:r w:rsidR="00FD6155">
        <w:t xml:space="preserve"> </w:t>
      </w:r>
      <w:r>
        <w:t xml:space="preserve"> </w:t>
      </w:r>
      <w:r w:rsidR="00FD6155">
        <w:t xml:space="preserve">=9.486,73  </w:t>
      </w:r>
      <w:r w:rsidR="00CB35B2">
        <w:t xml:space="preserve"> </w:t>
      </w:r>
      <w:r w:rsidR="00FD6155">
        <w:t>višak prihoda poslovanja</w:t>
      </w:r>
    </w:p>
    <w:p w14:paraId="3D656AA4" w14:textId="37F2E036" w:rsidR="00001A27" w:rsidRDefault="00FD6155" w:rsidP="00001A27">
      <w:pPr>
        <w:pStyle w:val="Bezproreda"/>
        <w:rPr>
          <w:u w:val="single"/>
        </w:rPr>
      </w:pPr>
      <w:r>
        <w:t xml:space="preserve">  </w:t>
      </w:r>
      <w:r w:rsidR="00CB39BD">
        <w:t xml:space="preserve">                        </w:t>
      </w:r>
      <w:r w:rsidR="00001A27">
        <w:t xml:space="preserve"> </w:t>
      </w:r>
      <w:r w:rsidR="00001A27" w:rsidRPr="00001A27">
        <w:rPr>
          <w:u w:val="single"/>
        </w:rPr>
        <w:t xml:space="preserve"> </w:t>
      </w:r>
      <w:r>
        <w:rPr>
          <w:u w:val="single"/>
        </w:rPr>
        <w:t xml:space="preserve">     </w:t>
      </w:r>
      <w:r w:rsidR="00CB35B2">
        <w:rPr>
          <w:u w:val="single"/>
        </w:rPr>
        <w:t>-</w:t>
      </w:r>
      <w:r>
        <w:rPr>
          <w:u w:val="single"/>
        </w:rPr>
        <w:t xml:space="preserve">3.707,89 </w:t>
      </w:r>
      <w:r w:rsidR="00CB35B2">
        <w:rPr>
          <w:u w:val="single"/>
        </w:rPr>
        <w:t xml:space="preserve">  </w:t>
      </w:r>
      <w:r>
        <w:rPr>
          <w:u w:val="single"/>
        </w:rPr>
        <w:t>manjak prihoda poslovanja</w:t>
      </w:r>
      <w:r w:rsidR="00CB35B2">
        <w:rPr>
          <w:u w:val="single"/>
        </w:rPr>
        <w:t>-</w:t>
      </w:r>
      <w:r>
        <w:rPr>
          <w:u w:val="single"/>
        </w:rPr>
        <w:t>preneseni iz</w:t>
      </w:r>
      <w:r w:rsidR="00001A27" w:rsidRPr="00001A27">
        <w:rPr>
          <w:u w:val="single"/>
        </w:rPr>
        <w:t xml:space="preserve"> prethodne godine</w:t>
      </w:r>
      <w:r w:rsidR="00DA3DC7">
        <w:rPr>
          <w:u w:val="single"/>
        </w:rPr>
        <w:t>(PR-RAS)</w:t>
      </w:r>
    </w:p>
    <w:p w14:paraId="0DB35E14" w14:textId="483256E8" w:rsidR="00001A27" w:rsidRPr="00CB39BD" w:rsidRDefault="00001A27" w:rsidP="00001A27">
      <w:pPr>
        <w:pStyle w:val="Bezproreda"/>
        <w:rPr>
          <w:b/>
        </w:rPr>
      </w:pPr>
      <w:r>
        <w:tab/>
      </w:r>
      <w:r w:rsidR="00CB39BD">
        <w:t xml:space="preserve">           </w:t>
      </w:r>
      <w:r w:rsidRPr="00CB39BD">
        <w:rPr>
          <w:b/>
        </w:rPr>
        <w:t xml:space="preserve">=     </w:t>
      </w:r>
      <w:r w:rsidR="00FD6155">
        <w:rPr>
          <w:b/>
        </w:rPr>
        <w:t xml:space="preserve">  </w:t>
      </w:r>
      <w:r w:rsidRPr="00CB39BD">
        <w:rPr>
          <w:b/>
        </w:rPr>
        <w:t>5</w:t>
      </w:r>
      <w:r w:rsidR="00FD6155">
        <w:rPr>
          <w:b/>
        </w:rPr>
        <w:t>.778,84</w:t>
      </w:r>
      <w:r w:rsidRPr="00CB39BD">
        <w:rPr>
          <w:b/>
        </w:rPr>
        <w:t xml:space="preserve">  </w:t>
      </w:r>
      <w:r w:rsidR="00CB35B2">
        <w:rPr>
          <w:b/>
        </w:rPr>
        <w:t xml:space="preserve"> </w:t>
      </w:r>
      <w:r w:rsidRPr="00CB39BD">
        <w:rPr>
          <w:b/>
        </w:rPr>
        <w:t>višak prihoda poslovanja</w:t>
      </w:r>
      <w:r w:rsidR="00CB39BD">
        <w:rPr>
          <w:b/>
        </w:rPr>
        <w:t xml:space="preserve"> </w:t>
      </w:r>
      <w:r w:rsidRPr="00CB39BD">
        <w:rPr>
          <w:b/>
        </w:rPr>
        <w:t>(pozicija na bilanci 92211)</w:t>
      </w:r>
    </w:p>
    <w:p w14:paraId="296931C3" w14:textId="66F53D10" w:rsidR="001E4A37" w:rsidRPr="00D21137" w:rsidRDefault="00001A27" w:rsidP="00001A27">
      <w:pPr>
        <w:ind w:left="1440" w:hanging="1440"/>
      </w:pPr>
      <w:r>
        <w:rPr>
          <w:b/>
        </w:rPr>
        <w:tab/>
        <w:t xml:space="preserve">         </w:t>
      </w:r>
    </w:p>
    <w:p w14:paraId="43A6D62A" w14:textId="504D286E" w:rsidR="001E4A37" w:rsidRDefault="001E4A37" w:rsidP="00CB39BD">
      <w:pPr>
        <w:pStyle w:val="Bezproreda"/>
        <w:jc w:val="both"/>
      </w:pPr>
      <w:r w:rsidRPr="00D21137">
        <w:t xml:space="preserve">         </w:t>
      </w:r>
      <w:r w:rsidR="00001A27">
        <w:tab/>
      </w:r>
      <w:r w:rsidR="00CB39BD">
        <w:t xml:space="preserve">               </w:t>
      </w:r>
      <w:r>
        <w:rPr>
          <w:b/>
        </w:rPr>
        <w:t>-</w:t>
      </w:r>
      <w:r w:rsidR="00CB35B2">
        <w:rPr>
          <w:b/>
        </w:rPr>
        <w:t>210.186,62</w:t>
      </w:r>
      <w:r w:rsidRPr="00D21137">
        <w:t xml:space="preserve">  manjak prihoda od nefinancijske imovine</w:t>
      </w:r>
    </w:p>
    <w:p w14:paraId="7272D84E" w14:textId="1D8262A5" w:rsidR="001E4A37" w:rsidRPr="00D21137" w:rsidRDefault="001E4A37" w:rsidP="00CB39BD">
      <w:pPr>
        <w:pStyle w:val="Bezproreda"/>
        <w:jc w:val="both"/>
      </w:pPr>
      <w:r>
        <w:t xml:space="preserve">          </w:t>
      </w:r>
      <w:r w:rsidR="00001A27">
        <w:t xml:space="preserve">                  </w:t>
      </w:r>
      <w:r>
        <w:t>+</w:t>
      </w:r>
      <w:r w:rsidR="00CB35B2">
        <w:t>118.834,79</w:t>
      </w:r>
      <w:r>
        <w:t xml:space="preserve">  konto 6362</w:t>
      </w:r>
      <w:r w:rsidR="00CB35B2">
        <w:t>-kapitalne pomoći iz državnog proračuna</w:t>
      </w:r>
    </w:p>
    <w:p w14:paraId="3AE11A61" w14:textId="515DDDFA" w:rsidR="001E4A37" w:rsidRPr="00D21137" w:rsidRDefault="001E4A37" w:rsidP="00CB39BD">
      <w:pPr>
        <w:pStyle w:val="Bezproreda"/>
        <w:jc w:val="both"/>
      </w:pPr>
      <w:r w:rsidRPr="00D21137">
        <w:t xml:space="preserve">         </w:t>
      </w:r>
      <w:r w:rsidR="00001A27">
        <w:t xml:space="preserve"> </w:t>
      </w:r>
      <w:r w:rsidRPr="00D21137">
        <w:t xml:space="preserve"> </w:t>
      </w:r>
      <w:r w:rsidR="00001A27">
        <w:t xml:space="preserve">            </w:t>
      </w:r>
      <w:r w:rsidR="00CB39BD">
        <w:t xml:space="preserve">      </w:t>
      </w:r>
      <w:r w:rsidRPr="00D21137">
        <w:t xml:space="preserve"> </w:t>
      </w:r>
      <w:r>
        <w:t xml:space="preserve">   </w:t>
      </w:r>
      <w:r w:rsidR="00CB35B2">
        <w:t xml:space="preserve"> </w:t>
      </w:r>
      <w:r>
        <w:t xml:space="preserve"> </w:t>
      </w:r>
      <w:r w:rsidR="00CB35B2">
        <w:t xml:space="preserve"> +413,52</w:t>
      </w:r>
      <w:r w:rsidRPr="00D21137">
        <w:t xml:space="preserve">  konto 6632</w:t>
      </w:r>
      <w:r w:rsidR="00CB35B2" w:rsidRPr="00D21137">
        <w:t>-kapitalne donacije</w:t>
      </w:r>
      <w:r w:rsidR="00CB35B2">
        <w:t xml:space="preserve"> (knjige za šk.knjižnicu)</w:t>
      </w:r>
    </w:p>
    <w:p w14:paraId="3FAC97B8" w14:textId="4B78F1A1" w:rsidR="00CB39BD" w:rsidRPr="00CB35B2" w:rsidRDefault="001E4A37" w:rsidP="00CB39BD">
      <w:pPr>
        <w:pStyle w:val="Bezproreda"/>
        <w:jc w:val="both"/>
        <w:rPr>
          <w:u w:val="single"/>
        </w:rPr>
      </w:pPr>
      <w:r w:rsidRPr="00D21137">
        <w:t xml:space="preserve">         </w:t>
      </w:r>
      <w:r w:rsidR="00001A27">
        <w:t xml:space="preserve">             </w:t>
      </w:r>
      <w:r w:rsidR="00CB39BD">
        <w:t xml:space="preserve">       </w:t>
      </w:r>
      <w:r w:rsidR="00CB35B2">
        <w:t xml:space="preserve"> </w:t>
      </w:r>
      <w:r w:rsidR="00CB35B2" w:rsidRPr="00CB35B2">
        <w:rPr>
          <w:u w:val="single"/>
        </w:rPr>
        <w:t>+63.415,07</w:t>
      </w:r>
      <w:r w:rsidR="00CB39BD" w:rsidRPr="00CB35B2">
        <w:rPr>
          <w:u w:val="single"/>
        </w:rPr>
        <w:t xml:space="preserve">  konto 6712</w:t>
      </w:r>
      <w:r w:rsidR="00CB35B2" w:rsidRPr="00FD6155">
        <w:rPr>
          <w:u w:val="single"/>
        </w:rPr>
        <w:t>- prihodi za fin.rashoda za nabavu nef.imovine</w:t>
      </w:r>
    </w:p>
    <w:p w14:paraId="1FB3AF0A" w14:textId="1FF26F04" w:rsidR="00CB35B2" w:rsidRDefault="00CB39BD" w:rsidP="00CB39BD">
      <w:pPr>
        <w:pStyle w:val="Bezproreda"/>
        <w:jc w:val="both"/>
      </w:pPr>
      <w:r>
        <w:t xml:space="preserve">                              </w:t>
      </w:r>
      <w:r w:rsidR="00DA3DC7">
        <w:t xml:space="preserve"> </w:t>
      </w:r>
      <w:r w:rsidR="00CB35B2">
        <w:t>-27.523,24  manjak prihoda od nefinancijske imovine</w:t>
      </w:r>
    </w:p>
    <w:p w14:paraId="528AD5A1" w14:textId="471BF0DD" w:rsidR="001E4A37" w:rsidRPr="00DA3DC7" w:rsidRDefault="00CB35B2" w:rsidP="00CB39BD">
      <w:pPr>
        <w:pStyle w:val="Bezproreda"/>
        <w:jc w:val="both"/>
        <w:rPr>
          <w:sz w:val="20"/>
          <w:szCs w:val="20"/>
          <w:u w:val="single"/>
        </w:rPr>
      </w:pPr>
      <w:r>
        <w:tab/>
      </w:r>
      <w:r>
        <w:tab/>
        <w:t xml:space="preserve"> </w:t>
      </w:r>
      <w:r w:rsidRPr="00CB35B2">
        <w:rPr>
          <w:u w:val="single"/>
        </w:rPr>
        <w:t xml:space="preserve">+24.044,56  </w:t>
      </w:r>
      <w:r w:rsidRPr="00DA3DC7">
        <w:rPr>
          <w:sz w:val="20"/>
          <w:szCs w:val="20"/>
          <w:u w:val="single"/>
        </w:rPr>
        <w:t>višak prihoda od nefinancijske imovine-preneseni iz prethodne godine</w:t>
      </w:r>
      <w:r w:rsidR="00DA3DC7" w:rsidRPr="00DA3DC7">
        <w:rPr>
          <w:sz w:val="20"/>
          <w:szCs w:val="20"/>
          <w:u w:val="single"/>
        </w:rPr>
        <w:t>(PR-RAS)</w:t>
      </w:r>
      <w:r w:rsidR="00CB39BD" w:rsidRPr="00DA3DC7">
        <w:rPr>
          <w:sz w:val="20"/>
          <w:szCs w:val="20"/>
          <w:u w:val="single"/>
        </w:rPr>
        <w:t xml:space="preserve">     </w:t>
      </w:r>
    </w:p>
    <w:p w14:paraId="333273C1" w14:textId="3D4256AF" w:rsidR="001E4A37" w:rsidRPr="00CB39BD" w:rsidRDefault="00CB39BD" w:rsidP="00CB39BD">
      <w:pPr>
        <w:jc w:val="both"/>
        <w:rPr>
          <w:b/>
        </w:rPr>
      </w:pPr>
      <w:r>
        <w:t xml:space="preserve">                         </w:t>
      </w:r>
      <w:r w:rsidR="001E4A37" w:rsidRPr="00D21137">
        <w:t xml:space="preserve"> </w:t>
      </w:r>
      <w:r w:rsidR="001E4A37" w:rsidRPr="00CB39BD">
        <w:rPr>
          <w:b/>
        </w:rPr>
        <w:t xml:space="preserve">=   </w:t>
      </w:r>
      <w:r w:rsidR="00CB35B2">
        <w:rPr>
          <w:b/>
        </w:rPr>
        <w:t xml:space="preserve"> -3.478,68</w:t>
      </w:r>
      <w:r w:rsidR="001E4A37" w:rsidRPr="00CB39BD">
        <w:rPr>
          <w:b/>
        </w:rPr>
        <w:t xml:space="preserve">  </w:t>
      </w:r>
      <w:r w:rsidR="00CB35B2">
        <w:rPr>
          <w:b/>
        </w:rPr>
        <w:t>manjak</w:t>
      </w:r>
      <w:r w:rsidR="001E4A37" w:rsidRPr="00CB39BD">
        <w:rPr>
          <w:b/>
        </w:rPr>
        <w:t xml:space="preserve"> prihoda od nefinancijske imovine</w:t>
      </w:r>
      <w:r w:rsidR="00001A27" w:rsidRPr="00CB39BD">
        <w:rPr>
          <w:b/>
        </w:rPr>
        <w:t xml:space="preserve"> (pozicija na bilanci </w:t>
      </w:r>
      <w:r w:rsidRPr="00CB39BD">
        <w:rPr>
          <w:b/>
        </w:rPr>
        <w:t>922</w:t>
      </w:r>
      <w:r w:rsidR="00CB35B2">
        <w:rPr>
          <w:b/>
        </w:rPr>
        <w:t>2</w:t>
      </w:r>
      <w:r w:rsidRPr="00CB39BD">
        <w:rPr>
          <w:b/>
        </w:rPr>
        <w:t>2)</w:t>
      </w:r>
    </w:p>
    <w:p w14:paraId="6B221E2E" w14:textId="3858C05C" w:rsidR="001E4A37" w:rsidRDefault="001E4A37" w:rsidP="001E4A37">
      <w:r w:rsidRPr="00D21137">
        <w:t>Iz toga proizlazi da j</w:t>
      </w:r>
      <w:r>
        <w:t xml:space="preserve">e na kraju godine ostvaren </w:t>
      </w:r>
      <w:r w:rsidR="00CB39BD">
        <w:t>viš</w:t>
      </w:r>
      <w:r>
        <w:t>ak</w:t>
      </w:r>
      <w:r w:rsidRPr="00D21137">
        <w:t xml:space="preserve"> prihoda poslovanja u iznosu </w:t>
      </w:r>
      <w:r w:rsidR="00185DDA">
        <w:t>5.778,84</w:t>
      </w:r>
      <w:r>
        <w:t xml:space="preserve"> eura</w:t>
      </w:r>
      <w:r w:rsidRPr="00D21137">
        <w:t xml:space="preserve"> (konto 92211) i </w:t>
      </w:r>
      <w:r w:rsidR="00185DDA">
        <w:t>manjak</w:t>
      </w:r>
      <w:r w:rsidRPr="00D21137">
        <w:t xml:space="preserve"> prihoda od nefinancijske imovine u iznosu </w:t>
      </w:r>
      <w:r w:rsidR="00185DDA">
        <w:t>3.478,68</w:t>
      </w:r>
      <w:r>
        <w:t xml:space="preserve"> eura</w:t>
      </w:r>
      <w:r w:rsidRPr="00D21137">
        <w:t xml:space="preserve"> (konto 922</w:t>
      </w:r>
      <w:r w:rsidR="00185DDA">
        <w:t>2</w:t>
      </w:r>
      <w:r w:rsidR="00CB39BD">
        <w:t>2), odnosno sveukupni višak prihoda 2</w:t>
      </w:r>
      <w:r w:rsidR="00185DDA">
        <w:t>.300,16</w:t>
      </w:r>
      <w:r w:rsidR="00CB39BD">
        <w:t xml:space="preserve"> eura.</w:t>
      </w:r>
    </w:p>
    <w:p w14:paraId="7C3DC67F" w14:textId="3250A0AF" w:rsidR="001E4A37" w:rsidRDefault="001E4A37" w:rsidP="001E4A37">
      <w:pPr>
        <w:pStyle w:val="Bezproreda"/>
      </w:pPr>
      <w:r>
        <w:t>Prikaz rezultata prema izvorima financiranja:</w:t>
      </w:r>
    </w:p>
    <w:p w14:paraId="68F4DEA9" w14:textId="77777777" w:rsidR="001E4A37" w:rsidRDefault="001E4A37" w:rsidP="001E4A37">
      <w:pPr>
        <w:pStyle w:val="Bezproreda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095"/>
        <w:gridCol w:w="1035"/>
        <w:gridCol w:w="1009"/>
        <w:gridCol w:w="1148"/>
        <w:gridCol w:w="865"/>
        <w:gridCol w:w="1046"/>
        <w:gridCol w:w="1275"/>
        <w:gridCol w:w="1276"/>
      </w:tblGrid>
      <w:tr w:rsidR="001E4A37" w14:paraId="1F2A7815" w14:textId="77777777" w:rsidTr="00714D03">
        <w:trPr>
          <w:trHeight w:val="555"/>
        </w:trPr>
        <w:tc>
          <w:tcPr>
            <w:tcW w:w="114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150EE239" w14:textId="77777777" w:rsidR="001E4A37" w:rsidRPr="0049544D" w:rsidRDefault="001E4A37" w:rsidP="00714D03">
            <w:pPr>
              <w:pStyle w:val="Bezproreda"/>
              <w:jc w:val="center"/>
              <w:rPr>
                <w:sz w:val="18"/>
                <w:szCs w:val="18"/>
              </w:rPr>
            </w:pPr>
            <w:r w:rsidRPr="0049544D">
              <w:rPr>
                <w:sz w:val="18"/>
                <w:szCs w:val="18"/>
              </w:rPr>
              <w:t xml:space="preserve">Izvor    prihoda i </w:t>
            </w:r>
          </w:p>
          <w:p w14:paraId="77095C9A" w14:textId="77777777" w:rsidR="001E4A37" w:rsidRPr="0049544D" w:rsidRDefault="001E4A37" w:rsidP="00714D03">
            <w:pPr>
              <w:pStyle w:val="Bezproreda"/>
              <w:jc w:val="center"/>
              <w:rPr>
                <w:sz w:val="18"/>
                <w:szCs w:val="18"/>
              </w:rPr>
            </w:pPr>
            <w:r w:rsidRPr="0049544D">
              <w:rPr>
                <w:sz w:val="18"/>
                <w:szCs w:val="18"/>
              </w:rPr>
              <w:t xml:space="preserve"> primitaka</w:t>
            </w:r>
          </w:p>
          <w:p w14:paraId="3D326D1E" w14:textId="77777777" w:rsidR="001E4A37" w:rsidRPr="00696AE3" w:rsidRDefault="001E4A37" w:rsidP="00714D03">
            <w:pPr>
              <w:pStyle w:val="Bezproreda"/>
              <w:jc w:val="center"/>
            </w:pPr>
          </w:p>
          <w:p w14:paraId="5290E466" w14:textId="77777777" w:rsidR="001E4A37" w:rsidRPr="00696AE3" w:rsidRDefault="001E4A37" w:rsidP="00714D03">
            <w:pPr>
              <w:pStyle w:val="Bezproreda"/>
              <w:jc w:val="center"/>
            </w:pPr>
          </w:p>
          <w:p w14:paraId="1B97085B" w14:textId="77777777" w:rsidR="001E4A37" w:rsidRPr="00696AE3" w:rsidRDefault="001E4A37" w:rsidP="00714D03">
            <w:pPr>
              <w:pStyle w:val="Bezproreda"/>
              <w:jc w:val="center"/>
            </w:pPr>
          </w:p>
          <w:p w14:paraId="0C2842BC" w14:textId="77777777" w:rsidR="001E4A37" w:rsidRPr="00696AE3" w:rsidRDefault="001E4A37" w:rsidP="00714D03">
            <w:pPr>
              <w:pStyle w:val="Bezproreda"/>
              <w:jc w:val="center"/>
            </w:pPr>
          </w:p>
          <w:p w14:paraId="7F94D832" w14:textId="77777777" w:rsidR="001E4A37" w:rsidRPr="00696AE3" w:rsidRDefault="001E4A37" w:rsidP="00714D03">
            <w:pPr>
              <w:pStyle w:val="Bezproreda"/>
              <w:jc w:val="center"/>
            </w:pPr>
          </w:p>
          <w:p w14:paraId="0C36F552" w14:textId="77777777" w:rsidR="001E4A37" w:rsidRPr="0049544D" w:rsidRDefault="001E4A37" w:rsidP="00714D03">
            <w:pPr>
              <w:pStyle w:val="Bezproreda"/>
              <w:jc w:val="center"/>
              <w:rPr>
                <w:sz w:val="18"/>
                <w:szCs w:val="18"/>
              </w:rPr>
            </w:pPr>
            <w:r w:rsidRPr="0049544D">
              <w:rPr>
                <w:sz w:val="18"/>
                <w:szCs w:val="18"/>
              </w:rPr>
              <w:t>Račun</w:t>
            </w:r>
          </w:p>
        </w:tc>
        <w:tc>
          <w:tcPr>
            <w:tcW w:w="8749" w:type="dxa"/>
            <w:gridSpan w:val="8"/>
            <w:shd w:val="clear" w:color="auto" w:fill="auto"/>
          </w:tcPr>
          <w:p w14:paraId="336E07B5" w14:textId="04D4CBB7" w:rsidR="001E4A37" w:rsidRDefault="001E4A37" w:rsidP="00714D03">
            <w:pPr>
              <w:jc w:val="center"/>
            </w:pPr>
            <w:r>
              <w:t>202</w:t>
            </w:r>
            <w:r w:rsidR="00D16BE3">
              <w:t>4</w:t>
            </w:r>
            <w:r>
              <w:t>. godina</w:t>
            </w:r>
          </w:p>
        </w:tc>
      </w:tr>
      <w:tr w:rsidR="00D847F6" w14:paraId="48E476C4" w14:textId="77777777" w:rsidTr="00714D03">
        <w:trPr>
          <w:trHeight w:val="1590"/>
        </w:trPr>
        <w:tc>
          <w:tcPr>
            <w:tcW w:w="1140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3B4D827D" w14:textId="77777777" w:rsidR="001E4A37" w:rsidRDefault="001E4A37" w:rsidP="00714D03">
            <w:pPr>
              <w:pStyle w:val="Bezproreda"/>
            </w:pPr>
          </w:p>
        </w:tc>
        <w:tc>
          <w:tcPr>
            <w:tcW w:w="1095" w:type="dxa"/>
            <w:shd w:val="clear" w:color="auto" w:fill="auto"/>
          </w:tcPr>
          <w:p w14:paraId="2793CC7B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Opći prihodi i primici</w:t>
            </w:r>
          </w:p>
        </w:tc>
        <w:tc>
          <w:tcPr>
            <w:tcW w:w="1035" w:type="dxa"/>
            <w:shd w:val="clear" w:color="auto" w:fill="auto"/>
          </w:tcPr>
          <w:p w14:paraId="6C1840B4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Vlastiti prihodi</w:t>
            </w:r>
          </w:p>
        </w:tc>
        <w:tc>
          <w:tcPr>
            <w:tcW w:w="1009" w:type="dxa"/>
            <w:shd w:val="clear" w:color="auto" w:fill="auto"/>
          </w:tcPr>
          <w:p w14:paraId="7977382B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Prihodi za posebne namjene</w:t>
            </w:r>
          </w:p>
        </w:tc>
        <w:tc>
          <w:tcPr>
            <w:tcW w:w="1148" w:type="dxa"/>
            <w:shd w:val="clear" w:color="auto" w:fill="auto"/>
          </w:tcPr>
          <w:p w14:paraId="6DB2B058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Pomoći</w:t>
            </w:r>
          </w:p>
        </w:tc>
        <w:tc>
          <w:tcPr>
            <w:tcW w:w="865" w:type="dxa"/>
            <w:shd w:val="clear" w:color="auto" w:fill="auto"/>
          </w:tcPr>
          <w:p w14:paraId="7B24215E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Donacije</w:t>
            </w:r>
          </w:p>
        </w:tc>
        <w:tc>
          <w:tcPr>
            <w:tcW w:w="1046" w:type="dxa"/>
            <w:shd w:val="clear" w:color="auto" w:fill="auto"/>
          </w:tcPr>
          <w:p w14:paraId="342107AA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Prihodi od prodaje imovine i nadoknade štete od osiguranja</w:t>
            </w:r>
          </w:p>
        </w:tc>
        <w:tc>
          <w:tcPr>
            <w:tcW w:w="1275" w:type="dxa"/>
            <w:shd w:val="clear" w:color="auto" w:fill="auto"/>
          </w:tcPr>
          <w:p w14:paraId="722FC99D" w14:textId="0FD20D78" w:rsidR="001E4A37" w:rsidRDefault="00F32399" w:rsidP="00714D03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Iskorišteni v</w:t>
            </w:r>
            <w:r w:rsidR="00D847F6">
              <w:rPr>
                <w:rFonts w:cs="Calibri"/>
                <w:sz w:val="18"/>
                <w:szCs w:val="18"/>
              </w:rPr>
              <w:t>išak prihoda</w:t>
            </w:r>
            <w:r>
              <w:rPr>
                <w:rFonts w:cs="Calibri"/>
                <w:sz w:val="18"/>
                <w:szCs w:val="18"/>
              </w:rPr>
              <w:t xml:space="preserve"> iz</w:t>
            </w:r>
            <w:r w:rsidR="00D847F6">
              <w:rPr>
                <w:rFonts w:cs="Calibri"/>
                <w:sz w:val="18"/>
                <w:szCs w:val="18"/>
              </w:rPr>
              <w:t xml:space="preserve"> </w:t>
            </w:r>
            <w:r w:rsidR="001E4A37">
              <w:rPr>
                <w:rFonts w:cs="Calibri"/>
                <w:sz w:val="18"/>
                <w:szCs w:val="18"/>
              </w:rPr>
              <w:t>prethodnog razdoblja (202</w:t>
            </w:r>
            <w:r>
              <w:rPr>
                <w:rFonts w:cs="Calibri"/>
                <w:sz w:val="18"/>
                <w:szCs w:val="18"/>
              </w:rPr>
              <w:t>3</w:t>
            </w:r>
            <w:r w:rsidR="001E4A37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godina</w:t>
            </w:r>
            <w:r w:rsidR="001E4A37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568977" w14:textId="77777777" w:rsidR="001E4A37" w:rsidRDefault="001E4A37" w:rsidP="00714D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Rezultat</w:t>
            </w:r>
          </w:p>
        </w:tc>
      </w:tr>
      <w:tr w:rsidR="00D847F6" w14:paraId="337C2D5D" w14:textId="77777777" w:rsidTr="00714D03">
        <w:tc>
          <w:tcPr>
            <w:tcW w:w="1140" w:type="dxa"/>
            <w:shd w:val="clear" w:color="auto" w:fill="auto"/>
          </w:tcPr>
          <w:p w14:paraId="7FAD238D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14:paraId="3039DD12" w14:textId="6A9410E4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257.980,26</w:t>
            </w:r>
          </w:p>
        </w:tc>
        <w:tc>
          <w:tcPr>
            <w:tcW w:w="1035" w:type="dxa"/>
            <w:shd w:val="clear" w:color="auto" w:fill="auto"/>
          </w:tcPr>
          <w:p w14:paraId="36E2D754" w14:textId="5D3F7F8E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8.5</w:t>
            </w:r>
            <w:r w:rsidR="00716C37">
              <w:rPr>
                <w:rFonts w:cs="Calibri"/>
                <w:sz w:val="16"/>
                <w:szCs w:val="16"/>
              </w:rPr>
              <w:t>88,47</w:t>
            </w:r>
          </w:p>
        </w:tc>
        <w:tc>
          <w:tcPr>
            <w:tcW w:w="1009" w:type="dxa"/>
            <w:shd w:val="clear" w:color="auto" w:fill="auto"/>
          </w:tcPr>
          <w:p w14:paraId="376B788C" w14:textId="2AF3F69D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716C37">
              <w:rPr>
                <w:rFonts w:cs="Calibri"/>
                <w:sz w:val="16"/>
                <w:szCs w:val="16"/>
              </w:rPr>
              <w:t>1.510,70</w:t>
            </w:r>
          </w:p>
        </w:tc>
        <w:tc>
          <w:tcPr>
            <w:tcW w:w="1148" w:type="dxa"/>
            <w:shd w:val="clear" w:color="auto" w:fill="auto"/>
          </w:tcPr>
          <w:p w14:paraId="30FC7431" w14:textId="67EB82F1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2.136.245,18</w:t>
            </w:r>
          </w:p>
        </w:tc>
        <w:tc>
          <w:tcPr>
            <w:tcW w:w="865" w:type="dxa"/>
            <w:shd w:val="clear" w:color="auto" w:fill="auto"/>
          </w:tcPr>
          <w:p w14:paraId="600253C4" w14:textId="3BCAB7A7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3.429,01</w:t>
            </w:r>
          </w:p>
        </w:tc>
        <w:tc>
          <w:tcPr>
            <w:tcW w:w="1046" w:type="dxa"/>
            <w:shd w:val="clear" w:color="auto" w:fill="auto"/>
          </w:tcPr>
          <w:p w14:paraId="5454697B" w14:textId="2BC5E8AE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400,00</w:t>
            </w:r>
          </w:p>
        </w:tc>
        <w:tc>
          <w:tcPr>
            <w:tcW w:w="1275" w:type="dxa"/>
            <w:shd w:val="clear" w:color="auto" w:fill="auto"/>
          </w:tcPr>
          <w:p w14:paraId="455F875F" w14:textId="7D61DD2C" w:rsidR="001E4A37" w:rsidRDefault="00D847F6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D932BB" w14:textId="2D605F5C" w:rsidR="001E4A37" w:rsidRDefault="00716C37" w:rsidP="00714D0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2.428.153,62</w:t>
            </w:r>
          </w:p>
        </w:tc>
      </w:tr>
      <w:tr w:rsidR="00D847F6" w14:paraId="19F09E53" w14:textId="77777777" w:rsidTr="00714D03">
        <w:tc>
          <w:tcPr>
            <w:tcW w:w="1140" w:type="dxa"/>
            <w:shd w:val="clear" w:color="auto" w:fill="auto"/>
          </w:tcPr>
          <w:p w14:paraId="3DE52552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14:paraId="1AD5A125" w14:textId="31416997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194.565,19</w:t>
            </w:r>
          </w:p>
        </w:tc>
        <w:tc>
          <w:tcPr>
            <w:tcW w:w="1035" w:type="dxa"/>
            <w:shd w:val="clear" w:color="auto" w:fill="auto"/>
          </w:tcPr>
          <w:p w14:paraId="1093C091" w14:textId="097BB0DB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1.507,27</w:t>
            </w:r>
          </w:p>
        </w:tc>
        <w:tc>
          <w:tcPr>
            <w:tcW w:w="1009" w:type="dxa"/>
            <w:shd w:val="clear" w:color="auto" w:fill="auto"/>
          </w:tcPr>
          <w:p w14:paraId="0F4F3007" w14:textId="648CF29A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21.495,70</w:t>
            </w:r>
          </w:p>
        </w:tc>
        <w:tc>
          <w:tcPr>
            <w:tcW w:w="1148" w:type="dxa"/>
            <w:shd w:val="clear" w:color="auto" w:fill="auto"/>
          </w:tcPr>
          <w:p w14:paraId="6BF23C9B" w14:textId="46EC583C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2.011.932,59</w:t>
            </w:r>
          </w:p>
        </w:tc>
        <w:tc>
          <w:tcPr>
            <w:tcW w:w="865" w:type="dxa"/>
            <w:shd w:val="clear" w:color="auto" w:fill="auto"/>
          </w:tcPr>
          <w:p w14:paraId="470BEBC3" w14:textId="5409659A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2.207,50</w:t>
            </w:r>
          </w:p>
        </w:tc>
        <w:tc>
          <w:tcPr>
            <w:tcW w:w="1046" w:type="dxa"/>
            <w:shd w:val="clear" w:color="auto" w:fill="auto"/>
          </w:tcPr>
          <w:p w14:paraId="2F606F95" w14:textId="70384840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400,00</w:t>
            </w:r>
          </w:p>
        </w:tc>
        <w:tc>
          <w:tcPr>
            <w:tcW w:w="1275" w:type="dxa"/>
            <w:shd w:val="clear" w:color="auto" w:fill="auto"/>
          </w:tcPr>
          <w:p w14:paraId="21A57582" w14:textId="2699D180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3.895,26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399AF8D" w14:textId="350A72D5" w:rsidR="001E4A37" w:rsidRDefault="00716C37" w:rsidP="00714D0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2.236.003,5</w:t>
            </w:r>
            <w:r w:rsidR="00F240F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D847F6" w14:paraId="61D0E8F8" w14:textId="77777777" w:rsidTr="00714D03">
        <w:tc>
          <w:tcPr>
            <w:tcW w:w="1140" w:type="dxa"/>
            <w:shd w:val="clear" w:color="auto" w:fill="auto"/>
          </w:tcPr>
          <w:p w14:paraId="3EF6916C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Višak/manjak redovnog poslovanja</w:t>
            </w:r>
          </w:p>
        </w:tc>
        <w:tc>
          <w:tcPr>
            <w:tcW w:w="1095" w:type="dxa"/>
            <w:shd w:val="clear" w:color="auto" w:fill="auto"/>
          </w:tcPr>
          <w:p w14:paraId="1435A9B7" w14:textId="16C01A92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63.415,07</w:t>
            </w:r>
          </w:p>
        </w:tc>
        <w:tc>
          <w:tcPr>
            <w:tcW w:w="1035" w:type="dxa"/>
            <w:shd w:val="clear" w:color="auto" w:fill="auto"/>
          </w:tcPr>
          <w:p w14:paraId="69BC7DE9" w14:textId="3D6B3864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7.081,20</w:t>
            </w:r>
          </w:p>
        </w:tc>
        <w:tc>
          <w:tcPr>
            <w:tcW w:w="1009" w:type="dxa"/>
            <w:shd w:val="clear" w:color="auto" w:fill="auto"/>
          </w:tcPr>
          <w:p w14:paraId="7F3748D4" w14:textId="6E57687A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15,00</w:t>
            </w:r>
          </w:p>
        </w:tc>
        <w:tc>
          <w:tcPr>
            <w:tcW w:w="1148" w:type="dxa"/>
            <w:shd w:val="clear" w:color="auto" w:fill="auto"/>
          </w:tcPr>
          <w:p w14:paraId="06F1F085" w14:textId="78ADF938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124.31</w:t>
            </w:r>
            <w:r w:rsidR="004F56A5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,59</w:t>
            </w:r>
          </w:p>
        </w:tc>
        <w:tc>
          <w:tcPr>
            <w:tcW w:w="865" w:type="dxa"/>
            <w:shd w:val="clear" w:color="auto" w:fill="auto"/>
          </w:tcPr>
          <w:p w14:paraId="0AA4C967" w14:textId="31B626D0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1.221,51</w:t>
            </w:r>
          </w:p>
        </w:tc>
        <w:tc>
          <w:tcPr>
            <w:tcW w:w="1046" w:type="dxa"/>
            <w:shd w:val="clear" w:color="auto" w:fill="auto"/>
          </w:tcPr>
          <w:p w14:paraId="6ECF38E6" w14:textId="27389F66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EC6D082" w14:textId="220ED9DD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-3.895,26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39D5EE" w14:textId="43A30F49" w:rsidR="001E4A37" w:rsidRDefault="00716C37" w:rsidP="00714D0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192.150,11</w:t>
            </w:r>
          </w:p>
        </w:tc>
      </w:tr>
      <w:tr w:rsidR="00D847F6" w14:paraId="64CBE19C" w14:textId="77777777" w:rsidTr="00714D03">
        <w:tc>
          <w:tcPr>
            <w:tcW w:w="1140" w:type="dxa"/>
            <w:shd w:val="clear" w:color="auto" w:fill="auto"/>
          </w:tcPr>
          <w:p w14:paraId="2686664F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14:paraId="0D0FB3FA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14:paraId="2E78380A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14:paraId="550AB6A4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14:paraId="170D97B5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14:paraId="7F81C454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3055D8F5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101,52</w:t>
            </w:r>
          </w:p>
        </w:tc>
        <w:tc>
          <w:tcPr>
            <w:tcW w:w="1275" w:type="dxa"/>
            <w:shd w:val="clear" w:color="auto" w:fill="auto"/>
          </w:tcPr>
          <w:p w14:paraId="6870EE04" w14:textId="1864D260" w:rsidR="001E4A37" w:rsidRDefault="00D847F6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680670" w14:textId="77777777" w:rsidR="001E4A37" w:rsidRDefault="001E4A37" w:rsidP="00714D0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101,52</w:t>
            </w:r>
          </w:p>
        </w:tc>
      </w:tr>
      <w:tr w:rsidR="00D847F6" w14:paraId="311EE988" w14:textId="77777777" w:rsidTr="00714D03">
        <w:tc>
          <w:tcPr>
            <w:tcW w:w="1140" w:type="dxa"/>
            <w:shd w:val="clear" w:color="auto" w:fill="auto"/>
          </w:tcPr>
          <w:p w14:paraId="7C9AFF3A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14:paraId="613E40F0" w14:textId="402A3449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63.415,07</w:t>
            </w:r>
          </w:p>
        </w:tc>
        <w:tc>
          <w:tcPr>
            <w:tcW w:w="1035" w:type="dxa"/>
            <w:shd w:val="clear" w:color="auto" w:fill="auto"/>
          </w:tcPr>
          <w:p w14:paraId="2C4E348B" w14:textId="32822B43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3.472,06</w:t>
            </w:r>
          </w:p>
        </w:tc>
        <w:tc>
          <w:tcPr>
            <w:tcW w:w="1009" w:type="dxa"/>
            <w:shd w:val="clear" w:color="auto" w:fill="auto"/>
          </w:tcPr>
          <w:p w14:paraId="4F428DEA" w14:textId="0954D562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6,62</w:t>
            </w:r>
          </w:p>
        </w:tc>
        <w:tc>
          <w:tcPr>
            <w:tcW w:w="1148" w:type="dxa"/>
            <w:shd w:val="clear" w:color="auto" w:fill="auto"/>
          </w:tcPr>
          <w:p w14:paraId="474B268B" w14:textId="2C134349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118.834,79</w:t>
            </w:r>
          </w:p>
        </w:tc>
        <w:tc>
          <w:tcPr>
            <w:tcW w:w="865" w:type="dxa"/>
            <w:shd w:val="clear" w:color="auto" w:fill="auto"/>
          </w:tcPr>
          <w:p w14:paraId="291288DA" w14:textId="0ED9C842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413,52</w:t>
            </w:r>
          </w:p>
        </w:tc>
        <w:tc>
          <w:tcPr>
            <w:tcW w:w="1046" w:type="dxa"/>
            <w:shd w:val="clear" w:color="auto" w:fill="auto"/>
          </w:tcPr>
          <w:p w14:paraId="4718CB51" w14:textId="339E46CF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101,52</w:t>
            </w:r>
          </w:p>
        </w:tc>
        <w:tc>
          <w:tcPr>
            <w:tcW w:w="1275" w:type="dxa"/>
            <w:shd w:val="clear" w:color="auto" w:fill="auto"/>
          </w:tcPr>
          <w:p w14:paraId="1D3CBE24" w14:textId="03E1F5AD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24.044,56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572B24" w14:textId="513D8A87" w:rsidR="001E4A37" w:rsidRDefault="00716C37" w:rsidP="00714D0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210.288,14</w:t>
            </w:r>
          </w:p>
        </w:tc>
      </w:tr>
      <w:tr w:rsidR="00D847F6" w14:paraId="4B9704EB" w14:textId="77777777" w:rsidTr="00714D03"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9F1DE00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Višak/manjak  od nefinancijske imovine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1EDE6671" w14:textId="456D0A11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-63.415,07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550CB89E" w14:textId="7F338F6B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-3</w:t>
            </w:r>
            <w:r w:rsidR="0018396C">
              <w:rPr>
                <w:rFonts w:cs="Calibri"/>
                <w:sz w:val="16"/>
                <w:szCs w:val="16"/>
              </w:rPr>
              <w:t>.</w:t>
            </w:r>
            <w:r>
              <w:rPr>
                <w:rFonts w:cs="Calibri"/>
                <w:sz w:val="16"/>
                <w:szCs w:val="16"/>
              </w:rPr>
              <w:t>472,06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64136EBF" w14:textId="04A8C33B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-6,62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14:paraId="588C7E0F" w14:textId="798074AD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-118.834,79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14:paraId="20CCFC23" w14:textId="5A2DF157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-413,52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72F199C3" w14:textId="720B39D8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9A4BFE2" w14:textId="7811FB2C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-24</w:t>
            </w:r>
            <w:r w:rsidR="0018396C">
              <w:rPr>
                <w:rFonts w:cs="Calibri"/>
                <w:sz w:val="16"/>
                <w:szCs w:val="16"/>
              </w:rPr>
              <w:t>.</w:t>
            </w:r>
            <w:r>
              <w:rPr>
                <w:rFonts w:cs="Calibri"/>
                <w:sz w:val="16"/>
                <w:szCs w:val="16"/>
              </w:rPr>
              <w:t>044,56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620644" w14:textId="7C381D3E" w:rsidR="001E4A37" w:rsidRDefault="00716C37" w:rsidP="00714D0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-210.186,62</w:t>
            </w:r>
          </w:p>
        </w:tc>
      </w:tr>
      <w:tr w:rsidR="00D847F6" w14:paraId="24ADA7B2" w14:textId="77777777" w:rsidTr="00714D03"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7BA47746" w14:textId="587366CD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Rezultat 202</w:t>
            </w:r>
            <w:r w:rsidR="00716C37">
              <w:rPr>
                <w:rFonts w:cs="Calibri"/>
                <w:sz w:val="16"/>
                <w:szCs w:val="16"/>
              </w:rPr>
              <w:t>4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6F80A0BA" w14:textId="7F5B5F32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34A2F9C8" w14:textId="7859561A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3.609,14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6B552B05" w14:textId="50DFC543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8,38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14:paraId="3D6055F4" w14:textId="48047256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5.477,80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14:paraId="33CE444A" w14:textId="76C1C0DB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807,99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0B1E8BC6" w14:textId="6BA7C4B6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DE4E9F2" w14:textId="6EB670CD" w:rsidR="001E4A37" w:rsidRDefault="00716C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-27.939,82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1EFB98A" w14:textId="1B2ED537" w:rsidR="001E4A37" w:rsidRDefault="00716C37" w:rsidP="00714D0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-18.036,51</w:t>
            </w:r>
          </w:p>
        </w:tc>
      </w:tr>
      <w:tr w:rsidR="001E4A37" w14:paraId="1264D831" w14:textId="77777777" w:rsidTr="00714D03">
        <w:tc>
          <w:tcPr>
            <w:tcW w:w="733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0712DC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B486D" w14:textId="218C3188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Preneseni višak 202</w:t>
            </w:r>
            <w:r w:rsidR="00716C37">
              <w:rPr>
                <w:rFonts w:cs="Calibri"/>
                <w:sz w:val="16"/>
                <w:szCs w:val="16"/>
              </w:rPr>
              <w:t>3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C67AE2" w14:textId="78EE0084" w:rsidR="001E4A37" w:rsidRDefault="00716C37" w:rsidP="00714D0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20.336,67</w:t>
            </w:r>
          </w:p>
        </w:tc>
      </w:tr>
      <w:tr w:rsidR="001E4A37" w14:paraId="6942C670" w14:textId="77777777" w:rsidTr="00714D03">
        <w:tc>
          <w:tcPr>
            <w:tcW w:w="7338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C68A18" w14:textId="7777777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ACA0B1" w14:textId="7B3C0747" w:rsidR="001E4A37" w:rsidRDefault="001E4A37" w:rsidP="00714D03">
            <w:pPr>
              <w:pStyle w:val="Bezproreda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Rezultat poslovanja</w:t>
            </w:r>
            <w:r w:rsidR="00D847F6">
              <w:rPr>
                <w:rFonts w:cs="Calibri"/>
                <w:sz w:val="16"/>
                <w:szCs w:val="16"/>
              </w:rPr>
              <w:t xml:space="preserve"> 202</w:t>
            </w:r>
            <w:r w:rsidR="00716C37">
              <w:rPr>
                <w:rFonts w:cs="Calibri"/>
                <w:sz w:val="16"/>
                <w:szCs w:val="16"/>
              </w:rPr>
              <w:t>4</w:t>
            </w:r>
            <w:r w:rsidR="00D847F6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9DAEAC" w14:textId="45F02CDA" w:rsidR="001E4A37" w:rsidRDefault="00716C37" w:rsidP="00714D0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2.300,16</w:t>
            </w:r>
          </w:p>
        </w:tc>
      </w:tr>
      <w:tr w:rsidR="001E4A37" w14:paraId="6B22D83C" w14:textId="77777777" w:rsidTr="00714D03">
        <w:tc>
          <w:tcPr>
            <w:tcW w:w="733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C39B3E" w14:textId="77777777" w:rsidR="001E4A37" w:rsidRPr="00A81FD2" w:rsidRDefault="001E4A37" w:rsidP="00714D03">
            <w:pPr>
              <w:pStyle w:val="Bezproreda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276A3A" w14:textId="77777777" w:rsidR="001E4A37" w:rsidRDefault="001E4A37" w:rsidP="00714D03"/>
        </w:tc>
      </w:tr>
    </w:tbl>
    <w:p w14:paraId="351690BF" w14:textId="77777777" w:rsidR="00634C79" w:rsidRDefault="00634C79" w:rsidP="001E4A37">
      <w:pPr>
        <w:pStyle w:val="Bezproreda"/>
      </w:pPr>
    </w:p>
    <w:p w14:paraId="17C086A8" w14:textId="499D12C4" w:rsidR="00381DB5" w:rsidRDefault="00346368" w:rsidP="0054307A">
      <w:pPr>
        <w:pStyle w:val="Bezproreda"/>
      </w:pPr>
      <w:r>
        <w:lastRenderedPageBreak/>
        <w:t>U</w:t>
      </w:r>
      <w:r w:rsidR="0054307A">
        <w:t>kupno ostvareni rezultat poslovanja</w:t>
      </w:r>
      <w:r w:rsidR="00F26A71">
        <w:t xml:space="preserve"> koji se prenosi u 202</w:t>
      </w:r>
      <w:r w:rsidR="00BB58D1">
        <w:t>5</w:t>
      </w:r>
      <w:r w:rsidR="00F26A71">
        <w:t>. godinu</w:t>
      </w:r>
      <w:r w:rsidR="0054307A">
        <w:t xml:space="preserve"> je višak</w:t>
      </w:r>
      <w:r w:rsidR="00096C29">
        <w:t xml:space="preserve"> prihoda u iznosu 2</w:t>
      </w:r>
      <w:r w:rsidR="00AD6917">
        <w:t>.300,16</w:t>
      </w:r>
      <w:r w:rsidR="00096C29">
        <w:t xml:space="preserve"> eura</w:t>
      </w:r>
      <w:r w:rsidR="00AD6917">
        <w:t>.</w:t>
      </w:r>
    </w:p>
    <w:p w14:paraId="2AD97784" w14:textId="2682FD30" w:rsidR="00776FC4" w:rsidRDefault="00776FC4" w:rsidP="0054307A">
      <w:pPr>
        <w:pStyle w:val="Bezproreda"/>
      </w:pPr>
      <w:r>
        <w:t>Odluka o raspodjeli rezultata i načinu korištenja viška prihoda</w:t>
      </w:r>
      <w:r w:rsidR="006F47F6">
        <w:t xml:space="preserve"> u 2025. godini</w:t>
      </w:r>
      <w:r>
        <w:t xml:space="preserve"> donijeti će se naknadno.</w:t>
      </w:r>
    </w:p>
    <w:p w14:paraId="70A8FD1B" w14:textId="3A62AAA9" w:rsidR="005B5FDD" w:rsidRDefault="005B5FDD" w:rsidP="00860251">
      <w:pPr>
        <w:pStyle w:val="Bezproreda"/>
      </w:pPr>
    </w:p>
    <w:p w14:paraId="29334780" w14:textId="77777777" w:rsidR="009E63B8" w:rsidRPr="00E07FF7" w:rsidRDefault="009E63B8" w:rsidP="009E63B8">
      <w:pPr>
        <w:pStyle w:val="Odlomakpopisa"/>
        <w:numPr>
          <w:ilvl w:val="0"/>
          <w:numId w:val="1"/>
        </w:numPr>
        <w:rPr>
          <w:b/>
        </w:rPr>
      </w:pPr>
      <w:r w:rsidRPr="00E07FF7">
        <w:rPr>
          <w:b/>
        </w:rPr>
        <w:t>Bilješke uz izvještaj o promjenama u vrijednosti i obujmu imovine i obveza</w:t>
      </w:r>
    </w:p>
    <w:p w14:paraId="2F4ACBD9" w14:textId="1DA782B6" w:rsidR="009E63B8" w:rsidRDefault="001303E5" w:rsidP="009E63B8">
      <w:r w:rsidRPr="00B568CE">
        <w:rPr>
          <w:u w:val="single"/>
        </w:rPr>
        <w:t xml:space="preserve">Bilješka broj  </w:t>
      </w:r>
      <w:r w:rsidR="006016E6">
        <w:rPr>
          <w:u w:val="single"/>
        </w:rPr>
        <w:t>7</w:t>
      </w:r>
      <w:r w:rsidR="007C07A8">
        <w:rPr>
          <w:u w:val="single"/>
        </w:rPr>
        <w:t>4</w:t>
      </w:r>
      <w:r w:rsidR="00B56E26">
        <w:t xml:space="preserve"> </w:t>
      </w:r>
      <w:r w:rsidR="0048221B">
        <w:t>–</w:t>
      </w:r>
      <w:r w:rsidR="00DA361F">
        <w:t xml:space="preserve"> </w:t>
      </w:r>
      <w:r w:rsidR="00761D8C">
        <w:t>zabilježen je iznos povećanja</w:t>
      </w:r>
      <w:r w:rsidR="00257F3F">
        <w:t xml:space="preserve"> na poziciji P018-</w:t>
      </w:r>
      <w:r w:rsidR="00192B08">
        <w:t>Proizvedena dugotrajna imovina</w:t>
      </w:r>
      <w:r w:rsidR="00761D8C">
        <w:t xml:space="preserve"> zbog prijenosa nefinancijske imovine</w:t>
      </w:r>
      <w:r w:rsidR="006C76D5">
        <w:t>-informatičk</w:t>
      </w:r>
      <w:r w:rsidR="0018239A">
        <w:t>e opreme</w:t>
      </w:r>
      <w:r w:rsidR="00FC3AC8">
        <w:t xml:space="preserve"> </w:t>
      </w:r>
      <w:r w:rsidR="006C76D5">
        <w:t xml:space="preserve">koja se vodila u poslovnim knjigama </w:t>
      </w:r>
      <w:r w:rsidR="002714F6">
        <w:t>Carneta</w:t>
      </w:r>
      <w:r w:rsidR="006C76D5">
        <w:t xml:space="preserve"> </w:t>
      </w:r>
      <w:r w:rsidR="00FC3AC8">
        <w:t>u</w:t>
      </w:r>
      <w:r w:rsidR="006C76D5">
        <w:t xml:space="preserve"> poslovne knjige škole</w:t>
      </w:r>
      <w:r w:rsidR="00C87734">
        <w:t xml:space="preserve"> </w:t>
      </w:r>
      <w:r w:rsidR="006C76D5">
        <w:t>O</w:t>
      </w:r>
      <w:r w:rsidR="0018239A">
        <w:t>dlukom</w:t>
      </w:r>
      <w:r w:rsidR="002714F6">
        <w:t xml:space="preserve"> Carneta</w:t>
      </w:r>
      <w:r w:rsidR="0018239A">
        <w:t xml:space="preserve"> </w:t>
      </w:r>
      <w:r w:rsidR="00761D8C">
        <w:t xml:space="preserve"> i to u iznosu </w:t>
      </w:r>
      <w:r w:rsidR="0018239A">
        <w:t xml:space="preserve">sadašnje vrijednosti opreme </w:t>
      </w:r>
      <w:r w:rsidR="002714F6">
        <w:t>58.055,82</w:t>
      </w:r>
      <w:r w:rsidR="006C76D5">
        <w:t xml:space="preserve"> eura.</w:t>
      </w:r>
    </w:p>
    <w:p w14:paraId="637B0F35" w14:textId="77777777" w:rsidR="001303E5" w:rsidRPr="00FA375D" w:rsidRDefault="001303E5" w:rsidP="001303E5">
      <w:pPr>
        <w:pStyle w:val="Odlomakpopisa"/>
        <w:numPr>
          <w:ilvl w:val="0"/>
          <w:numId w:val="1"/>
        </w:numPr>
        <w:rPr>
          <w:b/>
        </w:rPr>
      </w:pPr>
      <w:r w:rsidRPr="00FA375D">
        <w:rPr>
          <w:b/>
        </w:rPr>
        <w:t>Bilješke uz Izvještaj o obvezama</w:t>
      </w:r>
    </w:p>
    <w:p w14:paraId="03035A1F" w14:textId="5D934C8C" w:rsidR="001303E5" w:rsidRPr="00FA375D" w:rsidRDefault="001303E5" w:rsidP="003A5EBF">
      <w:pPr>
        <w:pStyle w:val="Bezproreda"/>
      </w:pPr>
      <w:r w:rsidRPr="00FA375D">
        <w:rPr>
          <w:u w:val="single"/>
        </w:rPr>
        <w:t xml:space="preserve">Bilješka broj  </w:t>
      </w:r>
      <w:r w:rsidR="006016E6">
        <w:rPr>
          <w:u w:val="single"/>
        </w:rPr>
        <w:t>7</w:t>
      </w:r>
      <w:r w:rsidR="007C07A8">
        <w:rPr>
          <w:u w:val="single"/>
        </w:rPr>
        <w:t>5</w:t>
      </w:r>
      <w:r w:rsidR="00B56E26" w:rsidRPr="00FA375D">
        <w:t xml:space="preserve"> </w:t>
      </w:r>
      <w:r w:rsidR="00DA361F" w:rsidRPr="00FA375D">
        <w:t xml:space="preserve">– </w:t>
      </w:r>
      <w:r w:rsidR="00D75E3E">
        <w:t>V</w:t>
      </w:r>
      <w:r w:rsidR="00EC433C" w:rsidRPr="00FA375D">
        <w:t>0</w:t>
      </w:r>
      <w:r w:rsidR="000C4545" w:rsidRPr="00FA375D">
        <w:t>01</w:t>
      </w:r>
      <w:r w:rsidR="00D75E3E">
        <w:t>-</w:t>
      </w:r>
      <w:r w:rsidR="00EC433C" w:rsidRPr="00FA375D">
        <w:t xml:space="preserve"> S</w:t>
      </w:r>
      <w:r w:rsidRPr="00FA375D">
        <w:t>tanje obveza</w:t>
      </w:r>
      <w:r w:rsidR="005C272E" w:rsidRPr="00FA375D">
        <w:t xml:space="preserve"> 1.siječnja</w:t>
      </w:r>
      <w:r w:rsidR="00D767A8" w:rsidRPr="00FA375D">
        <w:t>-</w:t>
      </w:r>
      <w:r w:rsidR="005C272E" w:rsidRPr="00FA375D">
        <w:t xml:space="preserve">  </w:t>
      </w:r>
      <w:r w:rsidR="000F6928">
        <w:t>1</w:t>
      </w:r>
      <w:r w:rsidR="00033800">
        <w:t>59.836,42</w:t>
      </w:r>
      <w:r w:rsidR="000F6928">
        <w:t xml:space="preserve"> eura</w:t>
      </w:r>
      <w:r w:rsidR="00D75E3E">
        <w:t>,</w:t>
      </w:r>
      <w:r w:rsidR="005C272E" w:rsidRPr="00FA375D">
        <w:t xml:space="preserve"> odnosi se na plaću i naknade za prosinac 20</w:t>
      </w:r>
      <w:r w:rsidR="00D75E3E">
        <w:t>2</w:t>
      </w:r>
      <w:r w:rsidR="00033800">
        <w:t>3</w:t>
      </w:r>
      <w:r w:rsidR="005C272E" w:rsidRPr="00FA375D">
        <w:t xml:space="preserve">. te na </w:t>
      </w:r>
      <w:r w:rsidR="00860251" w:rsidRPr="00FA375D">
        <w:t>troškove</w:t>
      </w:r>
      <w:r w:rsidR="001259AC">
        <w:t xml:space="preserve"> poslovanja</w:t>
      </w:r>
      <w:r w:rsidR="00860251" w:rsidRPr="00FA375D">
        <w:t xml:space="preserve"> iz prosinca 20</w:t>
      </w:r>
      <w:r w:rsidR="00761D8C" w:rsidRPr="00FA375D">
        <w:t>2</w:t>
      </w:r>
      <w:r w:rsidR="00033800">
        <w:t>3</w:t>
      </w:r>
      <w:r w:rsidR="005C272E" w:rsidRPr="00FA375D">
        <w:t xml:space="preserve">. za koje su računi zaprimljeni </w:t>
      </w:r>
      <w:r w:rsidR="005B512B" w:rsidRPr="00FA375D">
        <w:t xml:space="preserve">i podmireni </w:t>
      </w:r>
      <w:r w:rsidR="005C272E" w:rsidRPr="00FA375D">
        <w:t>u siječnju 20</w:t>
      </w:r>
      <w:r w:rsidR="00B1330D" w:rsidRPr="00FA375D">
        <w:t>2</w:t>
      </w:r>
      <w:r w:rsidR="00033800">
        <w:t>4</w:t>
      </w:r>
      <w:r w:rsidR="005C272E" w:rsidRPr="00FA375D">
        <w:t xml:space="preserve">. </w:t>
      </w:r>
    </w:p>
    <w:p w14:paraId="32A50006" w14:textId="69A35E11" w:rsidR="00275D3A" w:rsidRPr="00FA375D" w:rsidRDefault="001303E5" w:rsidP="00EF2CE5">
      <w:pPr>
        <w:pStyle w:val="Bezproreda"/>
      </w:pPr>
      <w:r w:rsidRPr="00FA375D">
        <w:rPr>
          <w:u w:val="single"/>
        </w:rPr>
        <w:t xml:space="preserve">Bilješka broj </w:t>
      </w:r>
      <w:r w:rsidR="006016E6">
        <w:rPr>
          <w:u w:val="single"/>
        </w:rPr>
        <w:t>7</w:t>
      </w:r>
      <w:r w:rsidR="007C07A8">
        <w:rPr>
          <w:u w:val="single"/>
        </w:rPr>
        <w:t>6</w:t>
      </w:r>
      <w:r w:rsidR="00DA361F" w:rsidRPr="00FA375D">
        <w:t xml:space="preserve"> </w:t>
      </w:r>
      <w:r w:rsidRPr="00FA375D">
        <w:t>–</w:t>
      </w:r>
      <w:r w:rsidR="00D75E3E">
        <w:t>V006</w:t>
      </w:r>
      <w:r w:rsidR="00033800">
        <w:t>,V009</w:t>
      </w:r>
      <w:r w:rsidR="00D767A8" w:rsidRPr="00FA375D">
        <w:t>-</w:t>
      </w:r>
      <w:r w:rsidRPr="00FA375D">
        <w:t xml:space="preserve"> Stanje </w:t>
      </w:r>
      <w:r w:rsidR="00D56B19" w:rsidRPr="00FA375D">
        <w:t>obveza na kraju izvješ</w:t>
      </w:r>
      <w:r w:rsidR="002C59C5" w:rsidRPr="00FA375D">
        <w:t xml:space="preserve">tajnog razdoblja iznosi ukupno </w:t>
      </w:r>
      <w:r w:rsidR="000F6928">
        <w:t>1</w:t>
      </w:r>
      <w:r w:rsidR="00033800">
        <w:t>74.795,97</w:t>
      </w:r>
      <w:r w:rsidR="00D56B19" w:rsidRPr="00FA375D">
        <w:t xml:space="preserve"> </w:t>
      </w:r>
      <w:r w:rsidR="000F6928">
        <w:t>eura</w:t>
      </w:r>
      <w:r w:rsidR="00D56B19" w:rsidRPr="00FA375D">
        <w:t xml:space="preserve">, </w:t>
      </w:r>
      <w:r w:rsidR="00033800">
        <w:t xml:space="preserve">sve su </w:t>
      </w:r>
      <w:r w:rsidR="00D56B19" w:rsidRPr="00FA375D">
        <w:t>nedospjele obveze</w:t>
      </w:r>
      <w:r w:rsidR="00033800">
        <w:t xml:space="preserve">, </w:t>
      </w:r>
      <w:r w:rsidR="00761D8C" w:rsidRPr="00FA375D">
        <w:t xml:space="preserve">i to </w:t>
      </w:r>
      <w:r w:rsidR="000F6928">
        <w:t>1</w:t>
      </w:r>
      <w:r w:rsidR="00033800">
        <w:t>52.407,03</w:t>
      </w:r>
      <w:r w:rsidR="00D56B19" w:rsidRPr="00FA375D">
        <w:t xml:space="preserve"> </w:t>
      </w:r>
      <w:r w:rsidR="000F6928">
        <w:t>eur</w:t>
      </w:r>
      <w:r w:rsidR="00D767A8" w:rsidRPr="00FA375D">
        <w:t xml:space="preserve">a </w:t>
      </w:r>
      <w:r w:rsidR="00D56B19" w:rsidRPr="00FA375D">
        <w:t xml:space="preserve">za </w:t>
      </w:r>
      <w:r w:rsidR="00D71BB9" w:rsidRPr="00FA375D">
        <w:t xml:space="preserve">rashode za zaposlene </w:t>
      </w:r>
      <w:r w:rsidR="00275D3A" w:rsidRPr="00FA375D">
        <w:t>(</w:t>
      </w:r>
      <w:r w:rsidR="002C59C5" w:rsidRPr="00FA375D">
        <w:t>isplaćen</w:t>
      </w:r>
      <w:r w:rsidR="00D71BB9" w:rsidRPr="00FA375D">
        <w:t>o</w:t>
      </w:r>
      <w:r w:rsidR="002C59C5" w:rsidRPr="00FA375D">
        <w:t xml:space="preserve"> </w:t>
      </w:r>
      <w:r w:rsidR="00761D8C" w:rsidRPr="00FA375D">
        <w:t>0</w:t>
      </w:r>
      <w:r w:rsidR="00033800">
        <w:t>9</w:t>
      </w:r>
      <w:r w:rsidR="002C59C5" w:rsidRPr="00FA375D">
        <w:t>.01.202</w:t>
      </w:r>
      <w:r w:rsidR="00033800">
        <w:t>5</w:t>
      </w:r>
      <w:r w:rsidR="00D56B19" w:rsidRPr="00FA375D">
        <w:t>.)</w:t>
      </w:r>
      <w:r w:rsidR="00D71BB9" w:rsidRPr="00FA375D">
        <w:t>,</w:t>
      </w:r>
      <w:r w:rsidR="00D56B19" w:rsidRPr="00FA375D">
        <w:t xml:space="preserve"> </w:t>
      </w:r>
      <w:r w:rsidR="00F67C26">
        <w:t>20.472,75</w:t>
      </w:r>
      <w:r w:rsidR="000F6928">
        <w:t xml:space="preserve"> eura</w:t>
      </w:r>
      <w:r w:rsidR="00D71BB9" w:rsidRPr="00FA375D">
        <w:t xml:space="preserve"> za </w:t>
      </w:r>
      <w:r w:rsidR="00D56B19" w:rsidRPr="00FA375D">
        <w:t>materijalne rashode poslovanja</w:t>
      </w:r>
      <w:r w:rsidR="00B10F7D" w:rsidRPr="00FA375D">
        <w:t>,</w:t>
      </w:r>
      <w:r w:rsidR="00D71BB9" w:rsidRPr="00FA375D">
        <w:t xml:space="preserve"> </w:t>
      </w:r>
      <w:r w:rsidR="00F67C26">
        <w:t>108,91</w:t>
      </w:r>
      <w:r w:rsidR="000F6928">
        <w:t xml:space="preserve"> eura</w:t>
      </w:r>
      <w:r w:rsidR="00D71BB9" w:rsidRPr="00FA375D">
        <w:t xml:space="preserve"> za financijske rashode</w:t>
      </w:r>
      <w:r w:rsidR="00F67C26">
        <w:t>, 259,01 eura obveze za naknade građanima i kućanstvima, 70,42 eura za obveze za nabavu nefinancijske imovine.</w:t>
      </w:r>
      <w:r w:rsidR="0054693E" w:rsidRPr="00FA375D">
        <w:t xml:space="preserve"> </w:t>
      </w:r>
      <w:r w:rsidR="005B512B" w:rsidRPr="00FA375D">
        <w:t xml:space="preserve">Svi računi i obveze podmireni su </w:t>
      </w:r>
      <w:r w:rsidR="0054693E" w:rsidRPr="00FA375D">
        <w:t>do kraja siječnja</w:t>
      </w:r>
      <w:r w:rsidR="0024466D" w:rsidRPr="00FA375D">
        <w:t xml:space="preserve"> </w:t>
      </w:r>
      <w:r w:rsidR="00B27E6C" w:rsidRPr="00FA375D">
        <w:t>202</w:t>
      </w:r>
      <w:r w:rsidR="00033800">
        <w:t>5</w:t>
      </w:r>
      <w:r w:rsidR="005B512B" w:rsidRPr="00FA375D">
        <w:t>.</w:t>
      </w:r>
      <w:r w:rsidR="0024466D" w:rsidRPr="00FA375D">
        <w:t xml:space="preserve"> godin</w:t>
      </w:r>
      <w:r w:rsidR="000F6928">
        <w:t>e</w:t>
      </w:r>
      <w:r w:rsidR="00BB62AD" w:rsidRPr="00FA375D">
        <w:t>.</w:t>
      </w:r>
    </w:p>
    <w:p w14:paraId="7EFEB8D3" w14:textId="698DFA73" w:rsidR="00DF1509" w:rsidRPr="00FA375D" w:rsidRDefault="00B27E6C" w:rsidP="00EF2CE5">
      <w:pPr>
        <w:pStyle w:val="Bezproreda"/>
      </w:pPr>
      <w:r w:rsidRPr="00FA375D">
        <w:rPr>
          <w:u w:val="single"/>
        </w:rPr>
        <w:t xml:space="preserve">Bilješka broj </w:t>
      </w:r>
      <w:r w:rsidR="006016E6">
        <w:rPr>
          <w:u w:val="single"/>
        </w:rPr>
        <w:t>7</w:t>
      </w:r>
      <w:r w:rsidR="007C07A8">
        <w:rPr>
          <w:u w:val="single"/>
        </w:rPr>
        <w:t>7</w:t>
      </w:r>
      <w:r w:rsidR="00DA361F" w:rsidRPr="00FA375D">
        <w:t xml:space="preserve"> </w:t>
      </w:r>
      <w:r w:rsidR="00D75E3E">
        <w:t>–</w:t>
      </w:r>
      <w:r w:rsidR="00DA361F" w:rsidRPr="00FA375D">
        <w:t xml:space="preserve"> </w:t>
      </w:r>
      <w:r w:rsidR="00D75E3E">
        <w:t>V010</w:t>
      </w:r>
      <w:r w:rsidR="00D767A8" w:rsidRPr="00FA375D">
        <w:t xml:space="preserve"> -</w:t>
      </w:r>
      <w:r w:rsidR="00DF1509" w:rsidRPr="00FA375D">
        <w:t xml:space="preserve">Međusobne obveze proračunskih korisnika iznose </w:t>
      </w:r>
      <w:r w:rsidR="000F6928">
        <w:t>1.</w:t>
      </w:r>
      <w:r w:rsidR="00033800">
        <w:t>477,85</w:t>
      </w:r>
      <w:r w:rsidR="000F6928">
        <w:t xml:space="preserve"> eura </w:t>
      </w:r>
      <w:r w:rsidR="00DF1509" w:rsidRPr="00FA375D">
        <w:t xml:space="preserve">i odnose se na obvezu uplate 65% stanarine u Državni proračun </w:t>
      </w:r>
      <w:r w:rsidR="008D3172">
        <w:t>1.</w:t>
      </w:r>
      <w:r w:rsidR="00033800">
        <w:t>260,58</w:t>
      </w:r>
      <w:r w:rsidR="008D3172">
        <w:t xml:space="preserve"> eura</w:t>
      </w:r>
      <w:r w:rsidR="00DF7FCA" w:rsidRPr="00FA375D">
        <w:t xml:space="preserve"> i bolovanje HZZO </w:t>
      </w:r>
      <w:r w:rsidR="00033800">
        <w:t>217,27</w:t>
      </w:r>
      <w:r w:rsidR="008D3172">
        <w:t xml:space="preserve"> eura</w:t>
      </w:r>
      <w:r w:rsidRPr="00FA375D">
        <w:t>.</w:t>
      </w:r>
    </w:p>
    <w:p w14:paraId="0D0574E9" w14:textId="77777777" w:rsidR="000F20AD" w:rsidRPr="00346368" w:rsidRDefault="000F20AD" w:rsidP="000F20AD">
      <w:pPr>
        <w:pStyle w:val="Bezproreda"/>
        <w:rPr>
          <w:color w:val="FF0000"/>
        </w:rPr>
      </w:pPr>
    </w:p>
    <w:p w14:paraId="2562C4AB" w14:textId="77777777" w:rsidR="002A72D8" w:rsidRPr="000F20AD" w:rsidRDefault="002A72D8" w:rsidP="000F20AD">
      <w:pPr>
        <w:pStyle w:val="Odlomakpopisa"/>
        <w:numPr>
          <w:ilvl w:val="0"/>
          <w:numId w:val="1"/>
        </w:numPr>
        <w:rPr>
          <w:b/>
        </w:rPr>
      </w:pPr>
      <w:r w:rsidRPr="000F20AD">
        <w:rPr>
          <w:b/>
        </w:rPr>
        <w:t>Bilješke uz Izvještaj o rashodima prema funkcijskoj klasifikaciji</w:t>
      </w:r>
    </w:p>
    <w:p w14:paraId="69C4401C" w14:textId="26E1CB8D" w:rsidR="00D11A8A" w:rsidRDefault="002A72D8" w:rsidP="00787113">
      <w:pPr>
        <w:pStyle w:val="Bezproreda"/>
      </w:pPr>
      <w:r w:rsidRPr="00B568CE">
        <w:rPr>
          <w:u w:val="single"/>
        </w:rPr>
        <w:t xml:space="preserve">Bilješka broj </w:t>
      </w:r>
      <w:r w:rsidR="006016E6">
        <w:rPr>
          <w:u w:val="single"/>
        </w:rPr>
        <w:t>7</w:t>
      </w:r>
      <w:r w:rsidR="007C07A8">
        <w:rPr>
          <w:u w:val="single"/>
        </w:rPr>
        <w:t>8</w:t>
      </w:r>
      <w:r w:rsidR="00787113">
        <w:t>-</w:t>
      </w:r>
      <w:r w:rsidR="00D11A8A">
        <w:t xml:space="preserve">Pozicija 09 </w:t>
      </w:r>
      <w:r w:rsidR="00F458D8">
        <w:t>–</w:t>
      </w:r>
      <w:r w:rsidR="00D11A8A">
        <w:t>Obrazovanje</w:t>
      </w:r>
      <w:r w:rsidR="00F458D8">
        <w:t>-</w:t>
      </w:r>
      <w:r w:rsidR="00D11A8A">
        <w:t xml:space="preserve"> </w:t>
      </w:r>
      <w:r>
        <w:t xml:space="preserve">prikazuje </w:t>
      </w:r>
      <w:r w:rsidR="00232178">
        <w:t xml:space="preserve">ukupne </w:t>
      </w:r>
      <w:r>
        <w:t>rashode poslovanja</w:t>
      </w:r>
      <w:r w:rsidR="00D11A8A">
        <w:t>.</w:t>
      </w:r>
    </w:p>
    <w:p w14:paraId="591FAC89" w14:textId="2EBA218A" w:rsidR="002A72D8" w:rsidRDefault="006016E6" w:rsidP="00787113">
      <w:pPr>
        <w:pStyle w:val="Bezproreda"/>
      </w:pPr>
      <w:r>
        <w:rPr>
          <w:u w:val="single"/>
        </w:rPr>
        <w:t>Bilješka broj 7</w:t>
      </w:r>
      <w:r w:rsidR="007C07A8">
        <w:rPr>
          <w:u w:val="single"/>
        </w:rPr>
        <w:t>9</w:t>
      </w:r>
      <w:r w:rsidR="00D11A8A">
        <w:t>-Pozicija 091-Osnovno obrazovanje</w:t>
      </w:r>
      <w:r w:rsidR="00F458D8">
        <w:t>-</w:t>
      </w:r>
      <w:r w:rsidR="00D11A8A">
        <w:t xml:space="preserve"> prikazuje rashode poslovanja</w:t>
      </w:r>
      <w:r w:rsidR="002A72D8">
        <w:t xml:space="preserve"> uman</w:t>
      </w:r>
      <w:r w:rsidR="00FA375D">
        <w:t>jene za troškove prehrane.</w:t>
      </w:r>
    </w:p>
    <w:p w14:paraId="164E2D6B" w14:textId="42C15938" w:rsidR="00B568CE" w:rsidRDefault="002A72D8" w:rsidP="002A72D8">
      <w:r w:rsidRPr="00B568CE">
        <w:rPr>
          <w:u w:val="single"/>
        </w:rPr>
        <w:t xml:space="preserve">Bilješka broj </w:t>
      </w:r>
      <w:r w:rsidR="007C07A8">
        <w:rPr>
          <w:u w:val="single"/>
        </w:rPr>
        <w:t>80</w:t>
      </w:r>
      <w:r w:rsidR="00787113">
        <w:t>-</w:t>
      </w:r>
      <w:r w:rsidR="00D11A8A">
        <w:t>Pozicija 096-</w:t>
      </w:r>
      <w:r>
        <w:t xml:space="preserve"> D</w:t>
      </w:r>
      <w:r w:rsidR="00E07FF7">
        <w:t>odatne usluge u obrazova</w:t>
      </w:r>
      <w:r w:rsidR="00FA375D">
        <w:t>nju</w:t>
      </w:r>
      <w:r w:rsidR="00F458D8">
        <w:t>-</w:t>
      </w:r>
      <w:r w:rsidR="00FA375D">
        <w:t xml:space="preserve"> prikazuju troškove prehrane.</w:t>
      </w:r>
    </w:p>
    <w:p w14:paraId="2F2AEA7F" w14:textId="6B1EC3E6" w:rsidR="002A72D8" w:rsidRDefault="00E07FF7" w:rsidP="002A72D8">
      <w:r>
        <w:t xml:space="preserve"> </w:t>
      </w:r>
    </w:p>
    <w:p w14:paraId="6DFF5285" w14:textId="23BB6C27" w:rsidR="00240005" w:rsidRDefault="00450783" w:rsidP="00240005">
      <w:pPr>
        <w:pStyle w:val="Bezproreda"/>
      </w:pPr>
      <w:r>
        <w:t>U Krapini, 3</w:t>
      </w:r>
      <w:r w:rsidR="00EF5479">
        <w:t>0</w:t>
      </w:r>
      <w:r>
        <w:t>.01.202</w:t>
      </w:r>
      <w:r w:rsidR="00EF5479">
        <w:t>5</w:t>
      </w:r>
      <w:r w:rsidR="000C70F9">
        <w:t>.</w:t>
      </w:r>
      <w:r w:rsidR="000C70F9">
        <w:tab/>
      </w:r>
      <w:r w:rsidR="00240005">
        <w:tab/>
      </w:r>
      <w:r w:rsidR="00240005">
        <w:tab/>
      </w:r>
      <w:r w:rsidR="00BB191C">
        <w:t xml:space="preserve">   </w:t>
      </w:r>
      <w:r w:rsidR="00240005">
        <w:tab/>
      </w:r>
      <w:r w:rsidR="00BB191C">
        <w:t xml:space="preserve">     M.P.</w:t>
      </w:r>
      <w:r w:rsidR="00240005">
        <w:tab/>
      </w:r>
      <w:r w:rsidR="00BB191C">
        <w:t xml:space="preserve">                                </w:t>
      </w:r>
      <w:r w:rsidR="00240005">
        <w:t>Odgovorna osoba:</w:t>
      </w:r>
    </w:p>
    <w:p w14:paraId="770DB285" w14:textId="1F65E97F" w:rsidR="00240005" w:rsidRDefault="00240005" w:rsidP="00240005">
      <w:pPr>
        <w:pStyle w:val="Bezproreda"/>
      </w:pPr>
      <w:r>
        <w:t>Osoba za kontaktiranje: Biserka König</w:t>
      </w:r>
      <w:r>
        <w:tab/>
      </w:r>
      <w:r>
        <w:tab/>
      </w:r>
      <w:r>
        <w:tab/>
      </w:r>
      <w:r w:rsidR="00BB191C">
        <w:t xml:space="preserve">                                </w:t>
      </w:r>
      <w:r w:rsidR="002C6E04">
        <w:t xml:space="preserve">dr.sc. </w:t>
      </w:r>
      <w:r w:rsidR="00EF5479">
        <w:t>Vlatka Družinec Tušek</w:t>
      </w:r>
    </w:p>
    <w:p w14:paraId="0234E2DC" w14:textId="71925AA6" w:rsidR="00E07FF7" w:rsidRDefault="00240005" w:rsidP="002A72D8">
      <w:r>
        <w:t>Telefon: 049/370-618</w:t>
      </w:r>
      <w:r w:rsidR="000C70F9">
        <w:tab/>
      </w:r>
      <w:r w:rsidR="000C70F9">
        <w:tab/>
      </w:r>
      <w:r w:rsidR="000C70F9">
        <w:tab/>
      </w:r>
      <w:r w:rsidR="000C70F9">
        <w:tab/>
      </w:r>
      <w:r w:rsidR="000C70F9">
        <w:tab/>
      </w:r>
      <w:r w:rsidR="000C70F9">
        <w:tab/>
      </w:r>
      <w:r w:rsidR="000C70F9">
        <w:tab/>
      </w:r>
    </w:p>
    <w:sectPr w:rsidR="00E07F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91E66" w14:textId="77777777" w:rsidR="008F16C8" w:rsidRDefault="008F16C8" w:rsidP="00DF7FCA">
      <w:pPr>
        <w:spacing w:after="0" w:line="240" w:lineRule="auto"/>
      </w:pPr>
      <w:r>
        <w:separator/>
      </w:r>
    </w:p>
  </w:endnote>
  <w:endnote w:type="continuationSeparator" w:id="0">
    <w:p w14:paraId="0F16F736" w14:textId="77777777" w:rsidR="008F16C8" w:rsidRDefault="008F16C8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954009"/>
      <w:docPartObj>
        <w:docPartGallery w:val="Page Numbers (Bottom of Page)"/>
        <w:docPartUnique/>
      </w:docPartObj>
    </w:sdtPr>
    <w:sdtEndPr/>
    <w:sdtContent>
      <w:p w14:paraId="288E481F" w14:textId="77777777" w:rsidR="00CC4E1F" w:rsidRDefault="00CC4E1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A3D307" wp14:editId="48E35EB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4EAD8" w14:textId="61CAEBCD" w:rsidR="00CC4E1F" w:rsidRDefault="00CC4E1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70D7B" w:rsidRPr="00670D7B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5A3D307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55B4EAD8" w14:textId="61CAEBCD" w:rsidR="00CC4E1F" w:rsidRDefault="00CC4E1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70D7B" w:rsidRPr="00670D7B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60FE3" w14:textId="77777777" w:rsidR="008F16C8" w:rsidRDefault="008F16C8" w:rsidP="00DF7FCA">
      <w:pPr>
        <w:spacing w:after="0" w:line="240" w:lineRule="auto"/>
      </w:pPr>
      <w:r>
        <w:separator/>
      </w:r>
    </w:p>
  </w:footnote>
  <w:footnote w:type="continuationSeparator" w:id="0">
    <w:p w14:paraId="3ED7DA34" w14:textId="77777777" w:rsidR="008F16C8" w:rsidRDefault="008F16C8" w:rsidP="00D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529"/>
    <w:multiLevelType w:val="hybridMultilevel"/>
    <w:tmpl w:val="1780D3B0"/>
    <w:lvl w:ilvl="0" w:tplc="CDD86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5F24"/>
    <w:multiLevelType w:val="hybridMultilevel"/>
    <w:tmpl w:val="92B252C0"/>
    <w:lvl w:ilvl="0" w:tplc="8DE0467C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B3729"/>
    <w:multiLevelType w:val="hybridMultilevel"/>
    <w:tmpl w:val="80941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153A"/>
    <w:multiLevelType w:val="hybridMultilevel"/>
    <w:tmpl w:val="F4E45368"/>
    <w:lvl w:ilvl="0" w:tplc="ED1AA6D0">
      <w:start w:val="313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22641392"/>
    <w:multiLevelType w:val="hybridMultilevel"/>
    <w:tmpl w:val="6BB22C04"/>
    <w:lvl w:ilvl="0" w:tplc="A7A6120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8C4D39"/>
    <w:multiLevelType w:val="hybridMultilevel"/>
    <w:tmpl w:val="A03A7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933B7"/>
    <w:multiLevelType w:val="hybridMultilevel"/>
    <w:tmpl w:val="01FEB110"/>
    <w:lvl w:ilvl="0" w:tplc="1AACA59C">
      <w:start w:val="313"/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433B7E6E"/>
    <w:multiLevelType w:val="hybridMultilevel"/>
    <w:tmpl w:val="DA44ED40"/>
    <w:lvl w:ilvl="0" w:tplc="617AFA32">
      <w:start w:val="3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E5BA9"/>
    <w:multiLevelType w:val="hybridMultilevel"/>
    <w:tmpl w:val="E222C61C"/>
    <w:lvl w:ilvl="0" w:tplc="1B7E0DF6">
      <w:start w:val="313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>
    <w:nsid w:val="4D6D0D2A"/>
    <w:multiLevelType w:val="hybridMultilevel"/>
    <w:tmpl w:val="1F94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A67A6"/>
    <w:multiLevelType w:val="hybridMultilevel"/>
    <w:tmpl w:val="A8D2FBD6"/>
    <w:lvl w:ilvl="0" w:tplc="0A3ACF98"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1">
    <w:nsid w:val="6A4827A3"/>
    <w:multiLevelType w:val="hybridMultilevel"/>
    <w:tmpl w:val="BB16F1EA"/>
    <w:lvl w:ilvl="0" w:tplc="9D4A9B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3C219DB"/>
    <w:multiLevelType w:val="hybridMultilevel"/>
    <w:tmpl w:val="894A43A6"/>
    <w:lvl w:ilvl="0" w:tplc="9E98BAFA">
      <w:start w:val="313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79ED462B"/>
    <w:multiLevelType w:val="hybridMultilevel"/>
    <w:tmpl w:val="70585E0C"/>
    <w:lvl w:ilvl="0" w:tplc="DA7A30BE">
      <w:start w:val="313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D2125DA"/>
    <w:multiLevelType w:val="hybridMultilevel"/>
    <w:tmpl w:val="6CB49AB0"/>
    <w:lvl w:ilvl="0" w:tplc="19E49EE6">
      <w:start w:val="313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13"/>
  </w:num>
  <w:num w:numId="9">
    <w:abstractNumId w:val="14"/>
  </w:num>
  <w:num w:numId="10">
    <w:abstractNumId w:val="7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CF"/>
    <w:rsid w:val="0000066A"/>
    <w:rsid w:val="00001A27"/>
    <w:rsid w:val="000059D8"/>
    <w:rsid w:val="00011578"/>
    <w:rsid w:val="00020749"/>
    <w:rsid w:val="000233E9"/>
    <w:rsid w:val="00030660"/>
    <w:rsid w:val="00033800"/>
    <w:rsid w:val="00034064"/>
    <w:rsid w:val="00034185"/>
    <w:rsid w:val="00037900"/>
    <w:rsid w:val="00044140"/>
    <w:rsid w:val="000448CD"/>
    <w:rsid w:val="00047108"/>
    <w:rsid w:val="00050EC0"/>
    <w:rsid w:val="000558C0"/>
    <w:rsid w:val="00061DDB"/>
    <w:rsid w:val="00070EE3"/>
    <w:rsid w:val="00072EFB"/>
    <w:rsid w:val="00077062"/>
    <w:rsid w:val="000772B7"/>
    <w:rsid w:val="000844DD"/>
    <w:rsid w:val="00096C29"/>
    <w:rsid w:val="000A014B"/>
    <w:rsid w:val="000A0914"/>
    <w:rsid w:val="000A1264"/>
    <w:rsid w:val="000B46D0"/>
    <w:rsid w:val="000B6E3D"/>
    <w:rsid w:val="000C2516"/>
    <w:rsid w:val="000C4545"/>
    <w:rsid w:val="000C70F9"/>
    <w:rsid w:val="000D1580"/>
    <w:rsid w:val="000D1CA9"/>
    <w:rsid w:val="000D42CA"/>
    <w:rsid w:val="000D5FDD"/>
    <w:rsid w:val="000E5CF7"/>
    <w:rsid w:val="000E6397"/>
    <w:rsid w:val="000F20AD"/>
    <w:rsid w:val="000F5A85"/>
    <w:rsid w:val="000F6928"/>
    <w:rsid w:val="000F6F24"/>
    <w:rsid w:val="0010463B"/>
    <w:rsid w:val="001115E9"/>
    <w:rsid w:val="0011285B"/>
    <w:rsid w:val="00116819"/>
    <w:rsid w:val="001259AC"/>
    <w:rsid w:val="001303E5"/>
    <w:rsid w:val="001306CE"/>
    <w:rsid w:val="00132A76"/>
    <w:rsid w:val="00134444"/>
    <w:rsid w:val="00140828"/>
    <w:rsid w:val="00150916"/>
    <w:rsid w:val="001559D7"/>
    <w:rsid w:val="001623A9"/>
    <w:rsid w:val="00165442"/>
    <w:rsid w:val="0016573D"/>
    <w:rsid w:val="00165AF4"/>
    <w:rsid w:val="00170A86"/>
    <w:rsid w:val="00170EAC"/>
    <w:rsid w:val="00172AB3"/>
    <w:rsid w:val="001778F8"/>
    <w:rsid w:val="00181CC2"/>
    <w:rsid w:val="00181F6A"/>
    <w:rsid w:val="0018239A"/>
    <w:rsid w:val="001835D8"/>
    <w:rsid w:val="0018396C"/>
    <w:rsid w:val="001841F1"/>
    <w:rsid w:val="00185DDA"/>
    <w:rsid w:val="00187EFF"/>
    <w:rsid w:val="00192B08"/>
    <w:rsid w:val="001A5E64"/>
    <w:rsid w:val="001B4622"/>
    <w:rsid w:val="001B4C29"/>
    <w:rsid w:val="001E4A37"/>
    <w:rsid w:val="001F0219"/>
    <w:rsid w:val="001F3715"/>
    <w:rsid w:val="00200319"/>
    <w:rsid w:val="0020122D"/>
    <w:rsid w:val="002244A5"/>
    <w:rsid w:val="00232178"/>
    <w:rsid w:val="00235517"/>
    <w:rsid w:val="00240005"/>
    <w:rsid w:val="002402CD"/>
    <w:rsid w:val="00241948"/>
    <w:rsid w:val="0024466D"/>
    <w:rsid w:val="0025482C"/>
    <w:rsid w:val="002557CA"/>
    <w:rsid w:val="00256BD8"/>
    <w:rsid w:val="00257107"/>
    <w:rsid w:val="00257836"/>
    <w:rsid w:val="00257F3F"/>
    <w:rsid w:val="00264662"/>
    <w:rsid w:val="002714F6"/>
    <w:rsid w:val="0027267F"/>
    <w:rsid w:val="00272E09"/>
    <w:rsid w:val="00275D3A"/>
    <w:rsid w:val="00276E09"/>
    <w:rsid w:val="0028316F"/>
    <w:rsid w:val="00283D4F"/>
    <w:rsid w:val="00291581"/>
    <w:rsid w:val="0029467B"/>
    <w:rsid w:val="002A72D8"/>
    <w:rsid w:val="002B0E50"/>
    <w:rsid w:val="002B3D28"/>
    <w:rsid w:val="002C59C5"/>
    <w:rsid w:val="002C5A48"/>
    <w:rsid w:val="002C60FD"/>
    <w:rsid w:val="002C6E04"/>
    <w:rsid w:val="002D172D"/>
    <w:rsid w:val="002D3D99"/>
    <w:rsid w:val="002D52E3"/>
    <w:rsid w:val="002E4585"/>
    <w:rsid w:val="002E4870"/>
    <w:rsid w:val="002E673B"/>
    <w:rsid w:val="002F0232"/>
    <w:rsid w:val="002F280F"/>
    <w:rsid w:val="002F2AC7"/>
    <w:rsid w:val="002F3273"/>
    <w:rsid w:val="002F7201"/>
    <w:rsid w:val="003014D0"/>
    <w:rsid w:val="00302E4D"/>
    <w:rsid w:val="003043F5"/>
    <w:rsid w:val="00306705"/>
    <w:rsid w:val="00313721"/>
    <w:rsid w:val="00317DF8"/>
    <w:rsid w:val="00323FB5"/>
    <w:rsid w:val="00325340"/>
    <w:rsid w:val="0033050A"/>
    <w:rsid w:val="003333EC"/>
    <w:rsid w:val="00335AEC"/>
    <w:rsid w:val="00346368"/>
    <w:rsid w:val="00352C4A"/>
    <w:rsid w:val="00355A77"/>
    <w:rsid w:val="0036180D"/>
    <w:rsid w:val="0037139D"/>
    <w:rsid w:val="00381DB5"/>
    <w:rsid w:val="0038554A"/>
    <w:rsid w:val="003866C0"/>
    <w:rsid w:val="00391409"/>
    <w:rsid w:val="00392034"/>
    <w:rsid w:val="0039724A"/>
    <w:rsid w:val="00397DE6"/>
    <w:rsid w:val="00397F1E"/>
    <w:rsid w:val="003A2EC6"/>
    <w:rsid w:val="003A5EBF"/>
    <w:rsid w:val="003B10C3"/>
    <w:rsid w:val="003B3D85"/>
    <w:rsid w:val="003C32DE"/>
    <w:rsid w:val="003C4C5F"/>
    <w:rsid w:val="003D7483"/>
    <w:rsid w:val="003E116F"/>
    <w:rsid w:val="003E1F7B"/>
    <w:rsid w:val="003E5A0A"/>
    <w:rsid w:val="003F02D0"/>
    <w:rsid w:val="003F3251"/>
    <w:rsid w:val="003F5ED3"/>
    <w:rsid w:val="004059CF"/>
    <w:rsid w:val="0041661C"/>
    <w:rsid w:val="0042231E"/>
    <w:rsid w:val="00424578"/>
    <w:rsid w:val="00425241"/>
    <w:rsid w:val="004301A6"/>
    <w:rsid w:val="004313DB"/>
    <w:rsid w:val="00444387"/>
    <w:rsid w:val="00447088"/>
    <w:rsid w:val="00447E04"/>
    <w:rsid w:val="00450783"/>
    <w:rsid w:val="0046137B"/>
    <w:rsid w:val="004632BF"/>
    <w:rsid w:val="0047662C"/>
    <w:rsid w:val="00476EF5"/>
    <w:rsid w:val="0047790C"/>
    <w:rsid w:val="0048221B"/>
    <w:rsid w:val="0048705B"/>
    <w:rsid w:val="00494184"/>
    <w:rsid w:val="00497BD1"/>
    <w:rsid w:val="004A15E2"/>
    <w:rsid w:val="004A479B"/>
    <w:rsid w:val="004C4391"/>
    <w:rsid w:val="004D35DA"/>
    <w:rsid w:val="004D395E"/>
    <w:rsid w:val="004D7664"/>
    <w:rsid w:val="004E087C"/>
    <w:rsid w:val="004E318B"/>
    <w:rsid w:val="004E3AEB"/>
    <w:rsid w:val="004E6BF5"/>
    <w:rsid w:val="004E746A"/>
    <w:rsid w:val="004F05DA"/>
    <w:rsid w:val="004F32D5"/>
    <w:rsid w:val="004F3D53"/>
    <w:rsid w:val="004F56A5"/>
    <w:rsid w:val="0050233D"/>
    <w:rsid w:val="005027F9"/>
    <w:rsid w:val="00517297"/>
    <w:rsid w:val="00520EDB"/>
    <w:rsid w:val="00520F98"/>
    <w:rsid w:val="00525044"/>
    <w:rsid w:val="005261CB"/>
    <w:rsid w:val="00533201"/>
    <w:rsid w:val="00535265"/>
    <w:rsid w:val="00541C44"/>
    <w:rsid w:val="0054307A"/>
    <w:rsid w:val="005439F9"/>
    <w:rsid w:val="00545197"/>
    <w:rsid w:val="0054693E"/>
    <w:rsid w:val="00554978"/>
    <w:rsid w:val="00557F34"/>
    <w:rsid w:val="005612D6"/>
    <w:rsid w:val="0056471A"/>
    <w:rsid w:val="00570A61"/>
    <w:rsid w:val="00585C7B"/>
    <w:rsid w:val="005A1A7C"/>
    <w:rsid w:val="005A30E3"/>
    <w:rsid w:val="005B13FA"/>
    <w:rsid w:val="005B512B"/>
    <w:rsid w:val="005B5306"/>
    <w:rsid w:val="005B5FDD"/>
    <w:rsid w:val="005C1061"/>
    <w:rsid w:val="005C272E"/>
    <w:rsid w:val="005C3AE4"/>
    <w:rsid w:val="005C74BF"/>
    <w:rsid w:val="005D0CE3"/>
    <w:rsid w:val="005D1A11"/>
    <w:rsid w:val="005D65B5"/>
    <w:rsid w:val="005E5FB2"/>
    <w:rsid w:val="005E74EF"/>
    <w:rsid w:val="005F1B3E"/>
    <w:rsid w:val="005F206A"/>
    <w:rsid w:val="005F2483"/>
    <w:rsid w:val="005F6295"/>
    <w:rsid w:val="00600ACD"/>
    <w:rsid w:val="00600FB0"/>
    <w:rsid w:val="006016E6"/>
    <w:rsid w:val="00602935"/>
    <w:rsid w:val="006067EB"/>
    <w:rsid w:val="00607304"/>
    <w:rsid w:val="00607C95"/>
    <w:rsid w:val="0061688B"/>
    <w:rsid w:val="00624958"/>
    <w:rsid w:val="00624E36"/>
    <w:rsid w:val="006266ED"/>
    <w:rsid w:val="00634C79"/>
    <w:rsid w:val="00641A6E"/>
    <w:rsid w:val="006576C6"/>
    <w:rsid w:val="00664224"/>
    <w:rsid w:val="00670D7B"/>
    <w:rsid w:val="006833C2"/>
    <w:rsid w:val="006864FA"/>
    <w:rsid w:val="00686E74"/>
    <w:rsid w:val="006948E2"/>
    <w:rsid w:val="00696AE3"/>
    <w:rsid w:val="006A58B5"/>
    <w:rsid w:val="006A78F8"/>
    <w:rsid w:val="006B5E36"/>
    <w:rsid w:val="006C708C"/>
    <w:rsid w:val="006C76D5"/>
    <w:rsid w:val="006D132D"/>
    <w:rsid w:val="006D579D"/>
    <w:rsid w:val="006D600A"/>
    <w:rsid w:val="006E0DCA"/>
    <w:rsid w:val="006E570A"/>
    <w:rsid w:val="006E58A5"/>
    <w:rsid w:val="006E7CD0"/>
    <w:rsid w:val="006F038C"/>
    <w:rsid w:val="006F04C5"/>
    <w:rsid w:val="006F4328"/>
    <w:rsid w:val="006F47F6"/>
    <w:rsid w:val="007106C5"/>
    <w:rsid w:val="0071154C"/>
    <w:rsid w:val="00716C37"/>
    <w:rsid w:val="0072191D"/>
    <w:rsid w:val="007233CB"/>
    <w:rsid w:val="0072397D"/>
    <w:rsid w:val="00731B69"/>
    <w:rsid w:val="0073255A"/>
    <w:rsid w:val="0073753B"/>
    <w:rsid w:val="007414B0"/>
    <w:rsid w:val="00743A2D"/>
    <w:rsid w:val="00754619"/>
    <w:rsid w:val="00756A22"/>
    <w:rsid w:val="00761D8C"/>
    <w:rsid w:val="007638A6"/>
    <w:rsid w:val="00766736"/>
    <w:rsid w:val="007668C6"/>
    <w:rsid w:val="00773E80"/>
    <w:rsid w:val="0077642E"/>
    <w:rsid w:val="00776FC4"/>
    <w:rsid w:val="00783DA3"/>
    <w:rsid w:val="007870E7"/>
    <w:rsid w:val="00787113"/>
    <w:rsid w:val="00794E0E"/>
    <w:rsid w:val="007A18E1"/>
    <w:rsid w:val="007A265B"/>
    <w:rsid w:val="007A578B"/>
    <w:rsid w:val="007B0BA8"/>
    <w:rsid w:val="007C07A8"/>
    <w:rsid w:val="007C18C1"/>
    <w:rsid w:val="007C44A6"/>
    <w:rsid w:val="007D1D7C"/>
    <w:rsid w:val="007E0932"/>
    <w:rsid w:val="007E1448"/>
    <w:rsid w:val="007E3BE6"/>
    <w:rsid w:val="007F107F"/>
    <w:rsid w:val="007F2794"/>
    <w:rsid w:val="00802D8D"/>
    <w:rsid w:val="008047D0"/>
    <w:rsid w:val="00817385"/>
    <w:rsid w:val="008303B5"/>
    <w:rsid w:val="008331A8"/>
    <w:rsid w:val="00834E51"/>
    <w:rsid w:val="00841E67"/>
    <w:rsid w:val="0085013F"/>
    <w:rsid w:val="00857CD1"/>
    <w:rsid w:val="0086017D"/>
    <w:rsid w:val="00860251"/>
    <w:rsid w:val="00866F03"/>
    <w:rsid w:val="00870533"/>
    <w:rsid w:val="00872CEB"/>
    <w:rsid w:val="00874AB5"/>
    <w:rsid w:val="00882DD1"/>
    <w:rsid w:val="00884D76"/>
    <w:rsid w:val="008A1483"/>
    <w:rsid w:val="008A1D38"/>
    <w:rsid w:val="008C2009"/>
    <w:rsid w:val="008C6136"/>
    <w:rsid w:val="008D3172"/>
    <w:rsid w:val="008E6578"/>
    <w:rsid w:val="008E766B"/>
    <w:rsid w:val="008E7FA0"/>
    <w:rsid w:val="008F16C8"/>
    <w:rsid w:val="008F2FB0"/>
    <w:rsid w:val="008F3AF5"/>
    <w:rsid w:val="008F7295"/>
    <w:rsid w:val="0090009D"/>
    <w:rsid w:val="0090779A"/>
    <w:rsid w:val="0091369B"/>
    <w:rsid w:val="00916639"/>
    <w:rsid w:val="00920C83"/>
    <w:rsid w:val="009219E2"/>
    <w:rsid w:val="009221D1"/>
    <w:rsid w:val="00923EFF"/>
    <w:rsid w:val="0092557F"/>
    <w:rsid w:val="00941BB3"/>
    <w:rsid w:val="00945100"/>
    <w:rsid w:val="00946809"/>
    <w:rsid w:val="009527C6"/>
    <w:rsid w:val="00962C0C"/>
    <w:rsid w:val="00966679"/>
    <w:rsid w:val="0096714E"/>
    <w:rsid w:val="009710D7"/>
    <w:rsid w:val="0097613A"/>
    <w:rsid w:val="009879D8"/>
    <w:rsid w:val="009915D5"/>
    <w:rsid w:val="00991749"/>
    <w:rsid w:val="0099192A"/>
    <w:rsid w:val="00995F27"/>
    <w:rsid w:val="009A0026"/>
    <w:rsid w:val="009A0510"/>
    <w:rsid w:val="009A3751"/>
    <w:rsid w:val="009A49D1"/>
    <w:rsid w:val="009A6D8E"/>
    <w:rsid w:val="009B0BC4"/>
    <w:rsid w:val="009C725E"/>
    <w:rsid w:val="009C7A77"/>
    <w:rsid w:val="009D08C4"/>
    <w:rsid w:val="009D457B"/>
    <w:rsid w:val="009D57B2"/>
    <w:rsid w:val="009D59CC"/>
    <w:rsid w:val="009E5608"/>
    <w:rsid w:val="009E5DCA"/>
    <w:rsid w:val="009E63B8"/>
    <w:rsid w:val="009E755C"/>
    <w:rsid w:val="00A01393"/>
    <w:rsid w:val="00A05A88"/>
    <w:rsid w:val="00A12642"/>
    <w:rsid w:val="00A17DC9"/>
    <w:rsid w:val="00A22E34"/>
    <w:rsid w:val="00A2626C"/>
    <w:rsid w:val="00A27AEE"/>
    <w:rsid w:val="00A3039C"/>
    <w:rsid w:val="00A32086"/>
    <w:rsid w:val="00A33706"/>
    <w:rsid w:val="00A37330"/>
    <w:rsid w:val="00A41B48"/>
    <w:rsid w:val="00A440CC"/>
    <w:rsid w:val="00A5124E"/>
    <w:rsid w:val="00A53D49"/>
    <w:rsid w:val="00A541E9"/>
    <w:rsid w:val="00A72479"/>
    <w:rsid w:val="00A73FEB"/>
    <w:rsid w:val="00A7401D"/>
    <w:rsid w:val="00A77AC9"/>
    <w:rsid w:val="00A85C44"/>
    <w:rsid w:val="00A90907"/>
    <w:rsid w:val="00A92015"/>
    <w:rsid w:val="00A94E81"/>
    <w:rsid w:val="00A96139"/>
    <w:rsid w:val="00A968C5"/>
    <w:rsid w:val="00AA6038"/>
    <w:rsid w:val="00AB2AAE"/>
    <w:rsid w:val="00AC06EF"/>
    <w:rsid w:val="00AC35D4"/>
    <w:rsid w:val="00AD6917"/>
    <w:rsid w:val="00AE6A28"/>
    <w:rsid w:val="00AF0812"/>
    <w:rsid w:val="00B038A9"/>
    <w:rsid w:val="00B10F7D"/>
    <w:rsid w:val="00B1330D"/>
    <w:rsid w:val="00B22044"/>
    <w:rsid w:val="00B226BA"/>
    <w:rsid w:val="00B229D9"/>
    <w:rsid w:val="00B24505"/>
    <w:rsid w:val="00B27E6C"/>
    <w:rsid w:val="00B311FB"/>
    <w:rsid w:val="00B51C72"/>
    <w:rsid w:val="00B531CF"/>
    <w:rsid w:val="00B544C6"/>
    <w:rsid w:val="00B568CE"/>
    <w:rsid w:val="00B56E14"/>
    <w:rsid w:val="00B56E26"/>
    <w:rsid w:val="00B57364"/>
    <w:rsid w:val="00B72491"/>
    <w:rsid w:val="00B857D4"/>
    <w:rsid w:val="00B9696A"/>
    <w:rsid w:val="00BA15CD"/>
    <w:rsid w:val="00BA1AE7"/>
    <w:rsid w:val="00BA6E28"/>
    <w:rsid w:val="00BB191C"/>
    <w:rsid w:val="00BB58D1"/>
    <w:rsid w:val="00BB5B75"/>
    <w:rsid w:val="00BB62AD"/>
    <w:rsid w:val="00BC1C29"/>
    <w:rsid w:val="00BC53CD"/>
    <w:rsid w:val="00BD08CF"/>
    <w:rsid w:val="00BD19A3"/>
    <w:rsid w:val="00BD5F8C"/>
    <w:rsid w:val="00BD74BF"/>
    <w:rsid w:val="00BE7B08"/>
    <w:rsid w:val="00BF7668"/>
    <w:rsid w:val="00C00A81"/>
    <w:rsid w:val="00C022B4"/>
    <w:rsid w:val="00C05783"/>
    <w:rsid w:val="00C07794"/>
    <w:rsid w:val="00C11FEF"/>
    <w:rsid w:val="00C138F5"/>
    <w:rsid w:val="00C142F2"/>
    <w:rsid w:val="00C26BE4"/>
    <w:rsid w:val="00C42136"/>
    <w:rsid w:val="00C516E4"/>
    <w:rsid w:val="00C56C2D"/>
    <w:rsid w:val="00C5725C"/>
    <w:rsid w:val="00C629BE"/>
    <w:rsid w:val="00C62C22"/>
    <w:rsid w:val="00C66BF3"/>
    <w:rsid w:val="00C702DF"/>
    <w:rsid w:val="00C7265F"/>
    <w:rsid w:val="00C75F9E"/>
    <w:rsid w:val="00C768C5"/>
    <w:rsid w:val="00C82757"/>
    <w:rsid w:val="00C87734"/>
    <w:rsid w:val="00C91E1F"/>
    <w:rsid w:val="00C96033"/>
    <w:rsid w:val="00C97975"/>
    <w:rsid w:val="00CA5FF6"/>
    <w:rsid w:val="00CA62F0"/>
    <w:rsid w:val="00CA680F"/>
    <w:rsid w:val="00CB35B2"/>
    <w:rsid w:val="00CB39BD"/>
    <w:rsid w:val="00CB5E70"/>
    <w:rsid w:val="00CC26A5"/>
    <w:rsid w:val="00CC274F"/>
    <w:rsid w:val="00CC4E1F"/>
    <w:rsid w:val="00CD58DF"/>
    <w:rsid w:val="00CD5CB4"/>
    <w:rsid w:val="00CE21A6"/>
    <w:rsid w:val="00CE2243"/>
    <w:rsid w:val="00CE3D46"/>
    <w:rsid w:val="00CE4DD4"/>
    <w:rsid w:val="00CF2F96"/>
    <w:rsid w:val="00CF7120"/>
    <w:rsid w:val="00D0201E"/>
    <w:rsid w:val="00D04F77"/>
    <w:rsid w:val="00D11A8A"/>
    <w:rsid w:val="00D151D5"/>
    <w:rsid w:val="00D16BE3"/>
    <w:rsid w:val="00D17E1E"/>
    <w:rsid w:val="00D20D62"/>
    <w:rsid w:val="00D2117B"/>
    <w:rsid w:val="00D268D0"/>
    <w:rsid w:val="00D45046"/>
    <w:rsid w:val="00D46A70"/>
    <w:rsid w:val="00D53F8A"/>
    <w:rsid w:val="00D56B19"/>
    <w:rsid w:val="00D62808"/>
    <w:rsid w:val="00D659A9"/>
    <w:rsid w:val="00D71BB9"/>
    <w:rsid w:val="00D723B9"/>
    <w:rsid w:val="00D74F0C"/>
    <w:rsid w:val="00D75E3E"/>
    <w:rsid w:val="00D764ED"/>
    <w:rsid w:val="00D767A8"/>
    <w:rsid w:val="00D847F6"/>
    <w:rsid w:val="00D90940"/>
    <w:rsid w:val="00D93A7F"/>
    <w:rsid w:val="00DA361F"/>
    <w:rsid w:val="00DA3DC7"/>
    <w:rsid w:val="00DA61BE"/>
    <w:rsid w:val="00DA6F99"/>
    <w:rsid w:val="00DB5651"/>
    <w:rsid w:val="00DB5A49"/>
    <w:rsid w:val="00DC06EB"/>
    <w:rsid w:val="00DC1A71"/>
    <w:rsid w:val="00DD386E"/>
    <w:rsid w:val="00DD4AF7"/>
    <w:rsid w:val="00DD7990"/>
    <w:rsid w:val="00DE14D1"/>
    <w:rsid w:val="00DE2368"/>
    <w:rsid w:val="00DE25D6"/>
    <w:rsid w:val="00DE309C"/>
    <w:rsid w:val="00DF016B"/>
    <w:rsid w:val="00DF11AC"/>
    <w:rsid w:val="00DF1509"/>
    <w:rsid w:val="00DF1733"/>
    <w:rsid w:val="00DF7FCA"/>
    <w:rsid w:val="00E01A47"/>
    <w:rsid w:val="00E04907"/>
    <w:rsid w:val="00E07FF7"/>
    <w:rsid w:val="00E1446E"/>
    <w:rsid w:val="00E173A9"/>
    <w:rsid w:val="00E22188"/>
    <w:rsid w:val="00E22A1A"/>
    <w:rsid w:val="00E307A1"/>
    <w:rsid w:val="00E33676"/>
    <w:rsid w:val="00E336C1"/>
    <w:rsid w:val="00E372A9"/>
    <w:rsid w:val="00E4017B"/>
    <w:rsid w:val="00E4421C"/>
    <w:rsid w:val="00E44E73"/>
    <w:rsid w:val="00E4650F"/>
    <w:rsid w:val="00E529CF"/>
    <w:rsid w:val="00E53144"/>
    <w:rsid w:val="00E53AD4"/>
    <w:rsid w:val="00E5435E"/>
    <w:rsid w:val="00E54EC0"/>
    <w:rsid w:val="00E56FED"/>
    <w:rsid w:val="00E573C3"/>
    <w:rsid w:val="00E64D41"/>
    <w:rsid w:val="00E73BAE"/>
    <w:rsid w:val="00E73BD3"/>
    <w:rsid w:val="00E76695"/>
    <w:rsid w:val="00E83028"/>
    <w:rsid w:val="00E83D1F"/>
    <w:rsid w:val="00E8408C"/>
    <w:rsid w:val="00E85C0F"/>
    <w:rsid w:val="00E86308"/>
    <w:rsid w:val="00E87377"/>
    <w:rsid w:val="00EB1A06"/>
    <w:rsid w:val="00EB3B80"/>
    <w:rsid w:val="00EC1842"/>
    <w:rsid w:val="00EC25BE"/>
    <w:rsid w:val="00EC433C"/>
    <w:rsid w:val="00EC4C9C"/>
    <w:rsid w:val="00EC58BE"/>
    <w:rsid w:val="00EC7BC0"/>
    <w:rsid w:val="00ED0009"/>
    <w:rsid w:val="00ED05ED"/>
    <w:rsid w:val="00ED2DCA"/>
    <w:rsid w:val="00ED7805"/>
    <w:rsid w:val="00EE227E"/>
    <w:rsid w:val="00EE733C"/>
    <w:rsid w:val="00EF2CE5"/>
    <w:rsid w:val="00EF5479"/>
    <w:rsid w:val="00EF601A"/>
    <w:rsid w:val="00EF6256"/>
    <w:rsid w:val="00EF635F"/>
    <w:rsid w:val="00F003A7"/>
    <w:rsid w:val="00F0084C"/>
    <w:rsid w:val="00F00EEC"/>
    <w:rsid w:val="00F06036"/>
    <w:rsid w:val="00F06302"/>
    <w:rsid w:val="00F068CF"/>
    <w:rsid w:val="00F12EAA"/>
    <w:rsid w:val="00F21CDA"/>
    <w:rsid w:val="00F23560"/>
    <w:rsid w:val="00F23750"/>
    <w:rsid w:val="00F240F5"/>
    <w:rsid w:val="00F26A71"/>
    <w:rsid w:val="00F30C6A"/>
    <w:rsid w:val="00F32399"/>
    <w:rsid w:val="00F326AE"/>
    <w:rsid w:val="00F34989"/>
    <w:rsid w:val="00F40E00"/>
    <w:rsid w:val="00F43ED1"/>
    <w:rsid w:val="00F458D8"/>
    <w:rsid w:val="00F54F13"/>
    <w:rsid w:val="00F61621"/>
    <w:rsid w:val="00F62A96"/>
    <w:rsid w:val="00F6690D"/>
    <w:rsid w:val="00F67C26"/>
    <w:rsid w:val="00F71557"/>
    <w:rsid w:val="00F75246"/>
    <w:rsid w:val="00F7665F"/>
    <w:rsid w:val="00F80F12"/>
    <w:rsid w:val="00F83AF3"/>
    <w:rsid w:val="00F84632"/>
    <w:rsid w:val="00F86CC2"/>
    <w:rsid w:val="00F9159B"/>
    <w:rsid w:val="00F9482E"/>
    <w:rsid w:val="00F9729C"/>
    <w:rsid w:val="00F972D5"/>
    <w:rsid w:val="00F979CE"/>
    <w:rsid w:val="00FA375D"/>
    <w:rsid w:val="00FA6984"/>
    <w:rsid w:val="00FB5181"/>
    <w:rsid w:val="00FC3AC8"/>
    <w:rsid w:val="00FC6B8D"/>
    <w:rsid w:val="00FD2FA2"/>
    <w:rsid w:val="00FD3809"/>
    <w:rsid w:val="00FD6155"/>
    <w:rsid w:val="00FD6E55"/>
    <w:rsid w:val="00FE0886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8FE05"/>
  <w15:docId w15:val="{2750C67F-48E8-4B45-AC08-3FA080FD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03C8-194A-4D10-BC79-135A09AB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3</cp:revision>
  <cp:lastPrinted>2023-01-31T13:09:00Z</cp:lastPrinted>
  <dcterms:created xsi:type="dcterms:W3CDTF">2025-02-03T12:27:00Z</dcterms:created>
  <dcterms:modified xsi:type="dcterms:W3CDTF">2025-02-03T12:27:00Z</dcterms:modified>
</cp:coreProperties>
</file>