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64338" w14:textId="3A9F2C90" w:rsidR="00874AB5" w:rsidRDefault="00874AB5" w:rsidP="00874AB5">
      <w:pPr>
        <w:pStyle w:val="Bezproreda"/>
      </w:pPr>
      <w:r>
        <w:t>Naziv obveznika: O</w:t>
      </w:r>
      <w:r w:rsidR="00F0084C">
        <w:t>.</w:t>
      </w:r>
      <w:r>
        <w:t>Š</w:t>
      </w:r>
      <w:r w:rsidR="00F0084C">
        <w:t>.</w:t>
      </w:r>
      <w:bookmarkStart w:id="0" w:name="_GoBack"/>
      <w:bookmarkEnd w:id="0"/>
      <w:r>
        <w:t>LJUDEVIT</w:t>
      </w:r>
      <w:r w:rsidR="00F0084C">
        <w:t xml:space="preserve">A </w:t>
      </w:r>
      <w:r>
        <w:t>GAJ</w:t>
      </w:r>
      <w:r w:rsidR="00F0084C">
        <w:t>A</w:t>
      </w:r>
      <w:r>
        <w:t xml:space="preserve"> KRAPINA</w:t>
      </w:r>
      <w:r>
        <w:tab/>
      </w:r>
      <w:r w:rsidR="00F0084C">
        <w:t xml:space="preserve">                             </w:t>
      </w:r>
      <w:r>
        <w:tab/>
        <w:t>Broj RKP-a: 15866</w:t>
      </w:r>
    </w:p>
    <w:p w14:paraId="7B4D8D63" w14:textId="77777777" w:rsidR="00874AB5" w:rsidRDefault="00874AB5" w:rsidP="00874AB5">
      <w:pPr>
        <w:pStyle w:val="Bezproreda"/>
      </w:pPr>
      <w:r>
        <w:t xml:space="preserve">Sjedište obveznika: </w:t>
      </w:r>
      <w:r w:rsidR="000D1580">
        <w:t xml:space="preserve">49000 </w:t>
      </w:r>
      <w:r>
        <w:t>KRAPINA</w:t>
      </w:r>
      <w:r>
        <w:tab/>
      </w:r>
      <w:r>
        <w:tab/>
      </w:r>
      <w:r>
        <w:tab/>
      </w:r>
      <w:r>
        <w:tab/>
      </w:r>
      <w:r>
        <w:tab/>
        <w:t>Matični broj: 03079589</w:t>
      </w:r>
    </w:p>
    <w:p w14:paraId="69360B32" w14:textId="77777777" w:rsidR="00874AB5" w:rsidRDefault="00874AB5" w:rsidP="00874AB5">
      <w:pPr>
        <w:pStyle w:val="Bezproreda"/>
      </w:pPr>
      <w:r>
        <w:t>Adresa sjedišta obveznika: TRG STJEPANA RADIĆA 1, KRAPINA</w:t>
      </w:r>
      <w:r>
        <w:tab/>
      </w:r>
      <w:r>
        <w:tab/>
        <w:t>OIB: 68206344969</w:t>
      </w:r>
    </w:p>
    <w:p w14:paraId="59585D4C" w14:textId="77777777" w:rsidR="00874AB5" w:rsidRDefault="00874AB5" w:rsidP="00874AB5">
      <w:pPr>
        <w:pStyle w:val="Bezproreda"/>
      </w:pPr>
      <w:r>
        <w:t>Razina: 31</w:t>
      </w:r>
      <w:r>
        <w:tab/>
      </w:r>
      <w:r>
        <w:tab/>
      </w:r>
      <w:r>
        <w:tab/>
      </w:r>
      <w:r>
        <w:tab/>
      </w:r>
      <w:r>
        <w:tab/>
      </w:r>
      <w:r>
        <w:tab/>
      </w:r>
      <w:r>
        <w:tab/>
      </w:r>
      <w:r>
        <w:tab/>
        <w:t>Šifra djelatnosti: 8520</w:t>
      </w:r>
    </w:p>
    <w:p w14:paraId="2E00082C" w14:textId="77777777" w:rsidR="00874AB5" w:rsidRDefault="00874AB5">
      <w:r>
        <w:t>Razdjel: 000</w:t>
      </w:r>
    </w:p>
    <w:p w14:paraId="52465879" w14:textId="77777777" w:rsidR="000D1580" w:rsidRDefault="00E529CF" w:rsidP="000D1580">
      <w:pPr>
        <w:jc w:val="center"/>
      </w:pPr>
      <w:r>
        <w:t>BILJEŠKE UZ FINANCIJSKE IZVJEŠTAJE</w:t>
      </w:r>
    </w:p>
    <w:p w14:paraId="6FBD07A6" w14:textId="75F68C6E" w:rsidR="008504BF" w:rsidRDefault="00E529CF" w:rsidP="000D1580">
      <w:pPr>
        <w:jc w:val="center"/>
      </w:pPr>
      <w:r>
        <w:t>ZA RAZDOBLJE OD 01.SIJEČNJA DO 31. PROSINCA 20</w:t>
      </w:r>
      <w:r w:rsidR="00C138F5">
        <w:t>2</w:t>
      </w:r>
      <w:r w:rsidR="00034185">
        <w:t>2</w:t>
      </w:r>
      <w:r>
        <w:t>. GODINE</w:t>
      </w:r>
    </w:p>
    <w:p w14:paraId="41DB6883" w14:textId="60CD5713" w:rsidR="00E529CF" w:rsidRPr="00602935" w:rsidRDefault="00E529CF">
      <w:r w:rsidRPr="00602935">
        <w:t xml:space="preserve">Osnovna škola „Ljudevit Gaj“ Krapina posluje u skladu sa Zakonom o odgoju i obrazovanju u osnovnoj i srednjoj školi </w:t>
      </w:r>
      <w:r w:rsidR="0096714E">
        <w:t>(</w:t>
      </w:r>
      <w:r w:rsidR="0096714E" w:rsidRPr="0096714E">
        <w:rPr>
          <w:sz w:val="20"/>
          <w:szCs w:val="20"/>
        </w:rPr>
        <w:t>NN 87/08,86/09,92/10,105/10,90/11,5/12,16/12,86/12,126/12,94/13,152/14,07/17,68/1</w:t>
      </w:r>
      <w:r w:rsidR="0096714E">
        <w:rPr>
          <w:sz w:val="20"/>
          <w:szCs w:val="20"/>
        </w:rPr>
        <w:t>8</w:t>
      </w:r>
      <w:r w:rsidR="0096714E" w:rsidRPr="0096714E">
        <w:rPr>
          <w:sz w:val="20"/>
          <w:szCs w:val="20"/>
        </w:rPr>
        <w:t>, 98/19,64/20,151/22</w:t>
      </w:r>
      <w:r w:rsidR="0096714E">
        <w:t xml:space="preserve">) </w:t>
      </w:r>
      <w:r w:rsidRPr="00602935">
        <w:t>te Statutom škole. Vodi proračunsko računovodstvo temeljem Pravilnika o proračunskom raču</w:t>
      </w:r>
      <w:r w:rsidR="0028316F" w:rsidRPr="00602935">
        <w:t>novodstvu i Računskom planu</w:t>
      </w:r>
      <w:r w:rsidR="000A1264" w:rsidRPr="00602935">
        <w:t xml:space="preserve"> </w:t>
      </w:r>
      <w:r w:rsidR="000A1264" w:rsidRPr="00602935">
        <w:rPr>
          <w:sz w:val="20"/>
          <w:szCs w:val="20"/>
        </w:rPr>
        <w:t>(NN 124/14,115/15,87/16,3/18,126/19,108/20)</w:t>
      </w:r>
      <w:r w:rsidR="0028316F" w:rsidRPr="00602935">
        <w:t>, a F</w:t>
      </w:r>
      <w:r w:rsidRPr="00602935">
        <w:t xml:space="preserve">inancijske izvještaje </w:t>
      </w:r>
      <w:r w:rsidR="001841F1" w:rsidRPr="00602935">
        <w:t xml:space="preserve">i Bilješke uz financijske izvještaje </w:t>
      </w:r>
      <w:r w:rsidRPr="00602935">
        <w:t xml:space="preserve">sastavlja i predaje u skladu s </w:t>
      </w:r>
      <w:r w:rsidR="00624E36" w:rsidRPr="00602935">
        <w:t>čl.1</w:t>
      </w:r>
      <w:r w:rsidR="000A1264" w:rsidRPr="00602935">
        <w:t>39</w:t>
      </w:r>
      <w:r w:rsidR="00624E36" w:rsidRPr="00602935">
        <w:t xml:space="preserve"> Zakona o proračunu </w:t>
      </w:r>
      <w:r w:rsidR="00624E36" w:rsidRPr="00602935">
        <w:rPr>
          <w:sz w:val="20"/>
          <w:szCs w:val="20"/>
        </w:rPr>
        <w:t xml:space="preserve">(NN </w:t>
      </w:r>
      <w:r w:rsidR="003C4C5F" w:rsidRPr="00602935">
        <w:rPr>
          <w:sz w:val="20"/>
          <w:szCs w:val="20"/>
        </w:rPr>
        <w:t>144/21</w:t>
      </w:r>
      <w:r w:rsidR="00624E36" w:rsidRPr="00602935">
        <w:rPr>
          <w:sz w:val="20"/>
          <w:szCs w:val="20"/>
        </w:rPr>
        <w:t>)</w:t>
      </w:r>
      <w:r w:rsidR="00624E36" w:rsidRPr="00602935">
        <w:t xml:space="preserve">, te </w:t>
      </w:r>
      <w:r w:rsidRPr="00602935">
        <w:t>odredbama Pravilnika o financijskom izvješćivanju u proračunskom računovodstvu</w:t>
      </w:r>
      <w:r w:rsidR="001841F1" w:rsidRPr="00602935">
        <w:t xml:space="preserve"> </w:t>
      </w:r>
      <w:r w:rsidR="001841F1" w:rsidRPr="00602935">
        <w:rPr>
          <w:sz w:val="20"/>
          <w:szCs w:val="20"/>
        </w:rPr>
        <w:t>(NN</w:t>
      </w:r>
      <w:r w:rsidR="00624E36" w:rsidRPr="00602935">
        <w:rPr>
          <w:sz w:val="20"/>
          <w:szCs w:val="20"/>
        </w:rPr>
        <w:t xml:space="preserve"> </w:t>
      </w:r>
      <w:r w:rsidR="003C4C5F" w:rsidRPr="00602935">
        <w:rPr>
          <w:sz w:val="20"/>
          <w:szCs w:val="20"/>
        </w:rPr>
        <w:t>37/22)</w:t>
      </w:r>
      <w:r w:rsidR="000A1264" w:rsidRPr="00602935">
        <w:rPr>
          <w:sz w:val="20"/>
          <w:szCs w:val="20"/>
        </w:rPr>
        <w:t>.</w:t>
      </w:r>
      <w:r w:rsidR="000A1264" w:rsidRPr="00602935">
        <w:t xml:space="preserve"> </w:t>
      </w:r>
      <w:r w:rsidR="00624E36" w:rsidRPr="00602935">
        <w:t xml:space="preserve">Odgovorna osoba škole je </w:t>
      </w:r>
      <w:r w:rsidR="00034185" w:rsidRPr="00602935">
        <w:t xml:space="preserve">dr.sc. </w:t>
      </w:r>
      <w:r w:rsidR="00624E36" w:rsidRPr="00602935">
        <w:t>Vlatka Družinec.</w:t>
      </w:r>
    </w:p>
    <w:p w14:paraId="45DE15DE" w14:textId="41C6340E" w:rsidR="00C138F5" w:rsidRDefault="006A58B5" w:rsidP="00C138F5">
      <w:pPr>
        <w:pStyle w:val="Odlomakpopisa"/>
        <w:numPr>
          <w:ilvl w:val="0"/>
          <w:numId w:val="1"/>
        </w:numPr>
        <w:rPr>
          <w:b/>
        </w:rPr>
      </w:pPr>
      <w:r w:rsidRPr="00DF11AC">
        <w:rPr>
          <w:b/>
        </w:rPr>
        <w:t>Bilješke uz Bilancu</w:t>
      </w:r>
    </w:p>
    <w:p w14:paraId="3B9E662C" w14:textId="07C43BBD" w:rsidR="00F84632" w:rsidRDefault="003F02D0" w:rsidP="00306705">
      <w:pPr>
        <w:pStyle w:val="Bezproreda"/>
      </w:pPr>
      <w:r w:rsidRPr="00B568CE">
        <w:rPr>
          <w:u w:val="single"/>
        </w:rPr>
        <w:t xml:space="preserve">Bilješka broj </w:t>
      </w:r>
      <w:r>
        <w:rPr>
          <w:u w:val="single"/>
        </w:rPr>
        <w:t>1</w:t>
      </w:r>
      <w:r>
        <w:t xml:space="preserve"> - Školska ustanova nema iskazane podatke u izvanbilančnoj evidenciji o ugovornim odnosima koji bi uz ispunjenje određenih uvjeta mogli postati obveza ili imovina pa se obvezni propisani podaci u tablici ne prikazuju.</w:t>
      </w:r>
    </w:p>
    <w:p w14:paraId="0E3485C6" w14:textId="77777777" w:rsidR="00306705" w:rsidRDefault="00306705" w:rsidP="00306705">
      <w:pPr>
        <w:pStyle w:val="Bezproreda"/>
      </w:pPr>
    </w:p>
    <w:p w14:paraId="46C27B2E" w14:textId="4C7E7793" w:rsidR="00857CD1" w:rsidRDefault="00857CD1" w:rsidP="00F06302">
      <w:r>
        <w:t>Tablica</w:t>
      </w:r>
      <w:r w:rsidR="005027F9">
        <w:t xml:space="preserve"> 1</w:t>
      </w:r>
      <w:r>
        <w:t>:</w:t>
      </w:r>
      <w:r w:rsidR="00773E80">
        <w:t xml:space="preserve"> Popis ugovornih odnosa</w:t>
      </w:r>
      <w:r>
        <w:t xml:space="preserve"> koji uz ispunjenje određenih uvjeta mogu postati obveza ili imovina</w:t>
      </w:r>
    </w:p>
    <w:tbl>
      <w:tblPr>
        <w:tblStyle w:val="Reetkatablice"/>
        <w:tblW w:w="0" w:type="auto"/>
        <w:tblLook w:val="04A0" w:firstRow="1" w:lastRow="0" w:firstColumn="1" w:lastColumn="0" w:noHBand="0" w:noVBand="1"/>
      </w:tblPr>
      <w:tblGrid>
        <w:gridCol w:w="634"/>
        <w:gridCol w:w="1138"/>
        <w:gridCol w:w="1214"/>
        <w:gridCol w:w="1183"/>
        <w:gridCol w:w="1110"/>
        <w:gridCol w:w="1023"/>
        <w:gridCol w:w="1158"/>
        <w:gridCol w:w="897"/>
        <w:gridCol w:w="931"/>
      </w:tblGrid>
      <w:tr w:rsidR="00857CD1" w14:paraId="4DF85FA2" w14:textId="77777777" w:rsidTr="00857CD1">
        <w:tc>
          <w:tcPr>
            <w:tcW w:w="1032" w:type="dxa"/>
          </w:tcPr>
          <w:p w14:paraId="2DFC5B58" w14:textId="77777777" w:rsidR="00857CD1" w:rsidRDefault="00857CD1" w:rsidP="00857CD1">
            <w:r>
              <w:t>Red. br.</w:t>
            </w:r>
          </w:p>
        </w:tc>
        <w:tc>
          <w:tcPr>
            <w:tcW w:w="1032" w:type="dxa"/>
          </w:tcPr>
          <w:p w14:paraId="45490B52" w14:textId="77777777" w:rsidR="00857CD1" w:rsidRDefault="00857CD1" w:rsidP="00F06302">
            <w:r>
              <w:t>Datum izdavanja/</w:t>
            </w:r>
          </w:p>
          <w:p w14:paraId="1E442627" w14:textId="77777777" w:rsidR="00857CD1" w:rsidRDefault="00857CD1" w:rsidP="00F06302">
            <w:r>
              <w:t>primanja jamstva</w:t>
            </w:r>
          </w:p>
        </w:tc>
        <w:tc>
          <w:tcPr>
            <w:tcW w:w="1032" w:type="dxa"/>
          </w:tcPr>
          <w:p w14:paraId="37786615" w14:textId="77777777" w:rsidR="00857CD1" w:rsidRDefault="00857CD1" w:rsidP="00F06302">
            <w:r>
              <w:t>Instrument osiguranja</w:t>
            </w:r>
          </w:p>
        </w:tc>
        <w:tc>
          <w:tcPr>
            <w:tcW w:w="1032" w:type="dxa"/>
          </w:tcPr>
          <w:p w14:paraId="20F10B26" w14:textId="77777777" w:rsidR="00857CD1" w:rsidRDefault="00857CD1" w:rsidP="00F06302">
            <w:r>
              <w:t>Iznos danog/</w:t>
            </w:r>
          </w:p>
          <w:p w14:paraId="5A456A46" w14:textId="77777777" w:rsidR="00857CD1" w:rsidRDefault="00857CD1" w:rsidP="00F06302">
            <w:r>
              <w:t>primljenog jamstva</w:t>
            </w:r>
          </w:p>
        </w:tc>
        <w:tc>
          <w:tcPr>
            <w:tcW w:w="1032" w:type="dxa"/>
          </w:tcPr>
          <w:p w14:paraId="340AE57C" w14:textId="77777777" w:rsidR="00857CD1" w:rsidRDefault="00857CD1" w:rsidP="00F06302">
            <w:r>
              <w:t>Primatelj/ davatelj jamstva</w:t>
            </w:r>
          </w:p>
        </w:tc>
        <w:tc>
          <w:tcPr>
            <w:tcW w:w="1032" w:type="dxa"/>
          </w:tcPr>
          <w:p w14:paraId="211288A9" w14:textId="77777777" w:rsidR="00857CD1" w:rsidRDefault="00857CD1" w:rsidP="00F06302">
            <w:r>
              <w:t>Namjena</w:t>
            </w:r>
          </w:p>
        </w:tc>
        <w:tc>
          <w:tcPr>
            <w:tcW w:w="1032" w:type="dxa"/>
          </w:tcPr>
          <w:p w14:paraId="5F11813A" w14:textId="77777777" w:rsidR="00857CD1" w:rsidRDefault="00857CD1" w:rsidP="00F06302">
            <w:r>
              <w:t>Dokument</w:t>
            </w:r>
          </w:p>
        </w:tc>
        <w:tc>
          <w:tcPr>
            <w:tcW w:w="1032" w:type="dxa"/>
          </w:tcPr>
          <w:p w14:paraId="3D977300" w14:textId="77777777" w:rsidR="00857CD1" w:rsidRDefault="00857CD1" w:rsidP="00F06302">
            <w:r>
              <w:t>Rok važenja</w:t>
            </w:r>
          </w:p>
        </w:tc>
        <w:tc>
          <w:tcPr>
            <w:tcW w:w="1032" w:type="dxa"/>
          </w:tcPr>
          <w:p w14:paraId="7623942C" w14:textId="77777777" w:rsidR="00857CD1" w:rsidRDefault="00857CD1" w:rsidP="00857CD1">
            <w:r>
              <w:t>Napom.</w:t>
            </w:r>
          </w:p>
        </w:tc>
      </w:tr>
      <w:tr w:rsidR="00857CD1" w14:paraId="4DAD3570" w14:textId="77777777" w:rsidTr="00857CD1">
        <w:tc>
          <w:tcPr>
            <w:tcW w:w="1032" w:type="dxa"/>
          </w:tcPr>
          <w:p w14:paraId="4C79A93C" w14:textId="77777777" w:rsidR="00857CD1" w:rsidRPr="00857CD1" w:rsidRDefault="00857CD1" w:rsidP="00857CD1">
            <w:pPr>
              <w:jc w:val="center"/>
              <w:rPr>
                <w:b/>
              </w:rPr>
            </w:pPr>
            <w:r w:rsidRPr="00857CD1">
              <w:rPr>
                <w:b/>
              </w:rPr>
              <w:t>-</w:t>
            </w:r>
          </w:p>
        </w:tc>
        <w:tc>
          <w:tcPr>
            <w:tcW w:w="1032" w:type="dxa"/>
          </w:tcPr>
          <w:p w14:paraId="725E4566" w14:textId="77777777" w:rsidR="00857CD1" w:rsidRPr="00857CD1" w:rsidRDefault="00857CD1" w:rsidP="00857CD1">
            <w:pPr>
              <w:jc w:val="center"/>
              <w:rPr>
                <w:b/>
              </w:rPr>
            </w:pPr>
            <w:r w:rsidRPr="00857CD1">
              <w:rPr>
                <w:b/>
              </w:rPr>
              <w:t>-</w:t>
            </w:r>
          </w:p>
        </w:tc>
        <w:tc>
          <w:tcPr>
            <w:tcW w:w="1032" w:type="dxa"/>
          </w:tcPr>
          <w:p w14:paraId="25995BC2" w14:textId="77777777" w:rsidR="00857CD1" w:rsidRPr="00857CD1" w:rsidRDefault="00857CD1" w:rsidP="00857CD1">
            <w:pPr>
              <w:jc w:val="center"/>
              <w:rPr>
                <w:b/>
              </w:rPr>
            </w:pPr>
            <w:r w:rsidRPr="00857CD1">
              <w:rPr>
                <w:b/>
              </w:rPr>
              <w:t>-</w:t>
            </w:r>
          </w:p>
        </w:tc>
        <w:tc>
          <w:tcPr>
            <w:tcW w:w="1032" w:type="dxa"/>
          </w:tcPr>
          <w:p w14:paraId="0761E524" w14:textId="77777777" w:rsidR="00857CD1" w:rsidRPr="00857CD1" w:rsidRDefault="00857CD1" w:rsidP="00857CD1">
            <w:pPr>
              <w:jc w:val="center"/>
              <w:rPr>
                <w:b/>
              </w:rPr>
            </w:pPr>
            <w:r w:rsidRPr="00857CD1">
              <w:rPr>
                <w:b/>
              </w:rPr>
              <w:t>-</w:t>
            </w:r>
          </w:p>
        </w:tc>
        <w:tc>
          <w:tcPr>
            <w:tcW w:w="1032" w:type="dxa"/>
          </w:tcPr>
          <w:p w14:paraId="51A04A61" w14:textId="77777777" w:rsidR="00857CD1" w:rsidRPr="00857CD1" w:rsidRDefault="00857CD1" w:rsidP="00857CD1">
            <w:pPr>
              <w:jc w:val="center"/>
              <w:rPr>
                <w:b/>
              </w:rPr>
            </w:pPr>
            <w:r w:rsidRPr="00857CD1">
              <w:rPr>
                <w:b/>
              </w:rPr>
              <w:t>-</w:t>
            </w:r>
          </w:p>
        </w:tc>
        <w:tc>
          <w:tcPr>
            <w:tcW w:w="1032" w:type="dxa"/>
          </w:tcPr>
          <w:p w14:paraId="0D523CD7" w14:textId="77777777" w:rsidR="00857CD1" w:rsidRPr="00857CD1" w:rsidRDefault="00857CD1" w:rsidP="00857CD1">
            <w:pPr>
              <w:jc w:val="center"/>
              <w:rPr>
                <w:b/>
              </w:rPr>
            </w:pPr>
            <w:r w:rsidRPr="00857CD1">
              <w:rPr>
                <w:b/>
              </w:rPr>
              <w:t>-</w:t>
            </w:r>
          </w:p>
        </w:tc>
        <w:tc>
          <w:tcPr>
            <w:tcW w:w="1032" w:type="dxa"/>
          </w:tcPr>
          <w:p w14:paraId="26F4B02A" w14:textId="77777777" w:rsidR="00857CD1" w:rsidRPr="00857CD1" w:rsidRDefault="00857CD1" w:rsidP="00857CD1">
            <w:pPr>
              <w:jc w:val="center"/>
              <w:rPr>
                <w:b/>
              </w:rPr>
            </w:pPr>
            <w:r w:rsidRPr="00857CD1">
              <w:rPr>
                <w:b/>
              </w:rPr>
              <w:t>-</w:t>
            </w:r>
          </w:p>
        </w:tc>
        <w:tc>
          <w:tcPr>
            <w:tcW w:w="1032" w:type="dxa"/>
          </w:tcPr>
          <w:p w14:paraId="14170D9B" w14:textId="77777777" w:rsidR="00857CD1" w:rsidRPr="00857CD1" w:rsidRDefault="00857CD1" w:rsidP="00857CD1">
            <w:pPr>
              <w:jc w:val="center"/>
              <w:rPr>
                <w:b/>
              </w:rPr>
            </w:pPr>
            <w:r w:rsidRPr="00857CD1">
              <w:rPr>
                <w:b/>
              </w:rPr>
              <w:t>-</w:t>
            </w:r>
          </w:p>
        </w:tc>
        <w:tc>
          <w:tcPr>
            <w:tcW w:w="1032" w:type="dxa"/>
          </w:tcPr>
          <w:p w14:paraId="5371BEB0" w14:textId="77777777" w:rsidR="00857CD1" w:rsidRPr="00857CD1" w:rsidRDefault="00857CD1" w:rsidP="00857CD1">
            <w:pPr>
              <w:jc w:val="center"/>
              <w:rPr>
                <w:b/>
              </w:rPr>
            </w:pPr>
            <w:r w:rsidRPr="00857CD1">
              <w:rPr>
                <w:b/>
              </w:rPr>
              <w:t>-</w:t>
            </w:r>
          </w:p>
        </w:tc>
      </w:tr>
    </w:tbl>
    <w:p w14:paraId="0C97C074" w14:textId="45FDE140" w:rsidR="003F02D0" w:rsidRDefault="003F02D0" w:rsidP="003A5EBF">
      <w:pPr>
        <w:pStyle w:val="Bezproreda"/>
      </w:pPr>
    </w:p>
    <w:p w14:paraId="37B73B81" w14:textId="77777777" w:rsidR="00F34989" w:rsidRDefault="00F34989" w:rsidP="003A5EBF">
      <w:pPr>
        <w:pStyle w:val="Bezproreda"/>
      </w:pPr>
    </w:p>
    <w:p w14:paraId="79BFF257" w14:textId="58CB64A7" w:rsidR="003F02D0" w:rsidRDefault="003F02D0" w:rsidP="003A5EBF">
      <w:pPr>
        <w:pStyle w:val="Bezproreda"/>
      </w:pPr>
      <w:r w:rsidRPr="00B568CE">
        <w:rPr>
          <w:u w:val="single"/>
        </w:rPr>
        <w:t>Bilješka broj</w:t>
      </w:r>
      <w:r>
        <w:rPr>
          <w:u w:val="single"/>
        </w:rPr>
        <w:t xml:space="preserve"> 2</w:t>
      </w:r>
      <w:r>
        <w:t xml:space="preserve"> -  škola nema sudskih postupaka u  tijeku ni kao tuženik, ni kao tužitelj, pa se obvezni propisani podaci u tablici ne prikazuju</w:t>
      </w:r>
      <w:r w:rsidR="00A12642">
        <w:t>.</w:t>
      </w:r>
    </w:p>
    <w:p w14:paraId="782D9883" w14:textId="77777777" w:rsidR="002F2AC7" w:rsidRDefault="002F2AC7" w:rsidP="003A5EBF">
      <w:pPr>
        <w:pStyle w:val="Bezproreda"/>
      </w:pPr>
    </w:p>
    <w:p w14:paraId="7BE19A57" w14:textId="5E32B13A" w:rsidR="006C708C" w:rsidRDefault="006C708C" w:rsidP="003A5EBF">
      <w:pPr>
        <w:pStyle w:val="Bezproreda"/>
      </w:pPr>
      <w:r>
        <w:t>Tablica</w:t>
      </w:r>
      <w:r w:rsidR="005027F9">
        <w:t xml:space="preserve"> 2</w:t>
      </w:r>
      <w:r>
        <w:t>: Popis sudskih sporova u tijeku</w:t>
      </w:r>
    </w:p>
    <w:p w14:paraId="18EAE87B" w14:textId="4617C5E1" w:rsidR="006C708C" w:rsidRDefault="006C708C" w:rsidP="003A5EBF">
      <w:pPr>
        <w:pStyle w:val="Bezproreda"/>
      </w:pPr>
    </w:p>
    <w:tbl>
      <w:tblPr>
        <w:tblStyle w:val="Reetkatablice"/>
        <w:tblW w:w="9351" w:type="dxa"/>
        <w:tblLook w:val="04A0" w:firstRow="1" w:lastRow="0" w:firstColumn="1" w:lastColumn="0" w:noHBand="0" w:noVBand="1"/>
      </w:tblPr>
      <w:tblGrid>
        <w:gridCol w:w="754"/>
        <w:gridCol w:w="949"/>
        <w:gridCol w:w="923"/>
        <w:gridCol w:w="932"/>
        <w:gridCol w:w="979"/>
        <w:gridCol w:w="1281"/>
        <w:gridCol w:w="1347"/>
        <w:gridCol w:w="976"/>
        <w:gridCol w:w="1210"/>
      </w:tblGrid>
      <w:tr w:rsidR="006C708C" w14:paraId="0C801439" w14:textId="77777777" w:rsidTr="00743A2D">
        <w:trPr>
          <w:trHeight w:val="1277"/>
        </w:trPr>
        <w:tc>
          <w:tcPr>
            <w:tcW w:w="754" w:type="dxa"/>
            <w:tcBorders>
              <w:bottom w:val="single" w:sz="4" w:space="0" w:color="auto"/>
            </w:tcBorders>
          </w:tcPr>
          <w:p w14:paraId="06E56751" w14:textId="77777777" w:rsidR="006C708C" w:rsidRDefault="00857CD1" w:rsidP="003A5EBF">
            <w:pPr>
              <w:pStyle w:val="Bezproreda"/>
            </w:pPr>
            <w:r>
              <w:t>Red.</w:t>
            </w:r>
          </w:p>
          <w:p w14:paraId="29B93D7C" w14:textId="77777777" w:rsidR="00857CD1" w:rsidRDefault="00857CD1" w:rsidP="003A5EBF">
            <w:pPr>
              <w:pStyle w:val="Bezproreda"/>
            </w:pPr>
            <w:r>
              <w:t>br.</w:t>
            </w:r>
          </w:p>
        </w:tc>
        <w:tc>
          <w:tcPr>
            <w:tcW w:w="949" w:type="dxa"/>
            <w:tcBorders>
              <w:bottom w:val="single" w:sz="4" w:space="0" w:color="auto"/>
            </w:tcBorders>
          </w:tcPr>
          <w:p w14:paraId="42787438" w14:textId="77777777" w:rsidR="00857CD1" w:rsidRDefault="00857CD1" w:rsidP="003A5EBF">
            <w:pPr>
              <w:pStyle w:val="Bezproreda"/>
            </w:pPr>
            <w:r>
              <w:t>Tuženik</w:t>
            </w:r>
          </w:p>
        </w:tc>
        <w:tc>
          <w:tcPr>
            <w:tcW w:w="923" w:type="dxa"/>
            <w:tcBorders>
              <w:bottom w:val="single" w:sz="4" w:space="0" w:color="auto"/>
            </w:tcBorders>
          </w:tcPr>
          <w:p w14:paraId="220F6EB3" w14:textId="77777777" w:rsidR="00857CD1" w:rsidRDefault="00857CD1" w:rsidP="003A5EBF">
            <w:pPr>
              <w:pStyle w:val="Bezproreda"/>
            </w:pPr>
            <w:r>
              <w:t>Tužitelj</w:t>
            </w:r>
          </w:p>
        </w:tc>
        <w:tc>
          <w:tcPr>
            <w:tcW w:w="932" w:type="dxa"/>
            <w:tcBorders>
              <w:bottom w:val="single" w:sz="4" w:space="0" w:color="auto"/>
            </w:tcBorders>
          </w:tcPr>
          <w:p w14:paraId="45168126" w14:textId="77777777" w:rsidR="00857CD1" w:rsidRDefault="00857CD1" w:rsidP="003A5EBF">
            <w:pPr>
              <w:pStyle w:val="Bezproreda"/>
            </w:pPr>
            <w:r>
              <w:t>Sažeti opis prirode spora</w:t>
            </w:r>
          </w:p>
        </w:tc>
        <w:tc>
          <w:tcPr>
            <w:tcW w:w="979" w:type="dxa"/>
            <w:tcBorders>
              <w:bottom w:val="single" w:sz="4" w:space="0" w:color="auto"/>
            </w:tcBorders>
          </w:tcPr>
          <w:p w14:paraId="0B656A85" w14:textId="77777777" w:rsidR="00857CD1" w:rsidRDefault="00857CD1" w:rsidP="003A5EBF">
            <w:pPr>
              <w:pStyle w:val="Bezproreda"/>
            </w:pPr>
            <w:r>
              <w:t>Iznos glavnice</w:t>
            </w:r>
          </w:p>
        </w:tc>
        <w:tc>
          <w:tcPr>
            <w:tcW w:w="1281" w:type="dxa"/>
            <w:tcBorders>
              <w:bottom w:val="single" w:sz="4" w:space="0" w:color="auto"/>
            </w:tcBorders>
          </w:tcPr>
          <w:p w14:paraId="4CB43061" w14:textId="77777777" w:rsidR="00857CD1" w:rsidRDefault="00857CD1" w:rsidP="003A5EBF">
            <w:pPr>
              <w:pStyle w:val="Bezproreda"/>
            </w:pPr>
            <w:r>
              <w:t>Procjena financijskog učinka</w:t>
            </w:r>
          </w:p>
        </w:tc>
        <w:tc>
          <w:tcPr>
            <w:tcW w:w="1347" w:type="dxa"/>
            <w:tcBorders>
              <w:bottom w:val="single" w:sz="4" w:space="0" w:color="auto"/>
            </w:tcBorders>
          </w:tcPr>
          <w:p w14:paraId="37B0DEB1" w14:textId="77777777" w:rsidR="006C708C" w:rsidRDefault="00857CD1" w:rsidP="003A5EBF">
            <w:pPr>
              <w:pStyle w:val="Bezproreda"/>
            </w:pPr>
            <w:r>
              <w:t>Procijenjeno vrijeme odljeva/</w:t>
            </w:r>
          </w:p>
          <w:p w14:paraId="175C03E5" w14:textId="77777777" w:rsidR="00857CD1" w:rsidRDefault="00857CD1" w:rsidP="003A5EBF">
            <w:pPr>
              <w:pStyle w:val="Bezproreda"/>
            </w:pPr>
            <w:r>
              <w:t xml:space="preserve">priljeva sredstava </w:t>
            </w:r>
          </w:p>
        </w:tc>
        <w:tc>
          <w:tcPr>
            <w:tcW w:w="976" w:type="dxa"/>
            <w:tcBorders>
              <w:bottom w:val="single" w:sz="4" w:space="0" w:color="auto"/>
            </w:tcBorders>
          </w:tcPr>
          <w:p w14:paraId="400E28A1" w14:textId="77777777" w:rsidR="00857CD1" w:rsidRDefault="00857CD1" w:rsidP="003A5EBF">
            <w:pPr>
              <w:pStyle w:val="Bezproreda"/>
            </w:pPr>
            <w:r>
              <w:t>Početak sudskog spora</w:t>
            </w:r>
          </w:p>
        </w:tc>
        <w:tc>
          <w:tcPr>
            <w:tcW w:w="1210" w:type="dxa"/>
            <w:tcBorders>
              <w:bottom w:val="single" w:sz="4" w:space="0" w:color="auto"/>
            </w:tcBorders>
          </w:tcPr>
          <w:p w14:paraId="7A398A6B" w14:textId="77777777" w:rsidR="00857CD1" w:rsidRDefault="006C708C" w:rsidP="006C708C">
            <w:pPr>
              <w:pStyle w:val="Bezproreda"/>
            </w:pPr>
            <w:r>
              <w:t>Napomena</w:t>
            </w:r>
          </w:p>
        </w:tc>
      </w:tr>
      <w:tr w:rsidR="006C708C" w14:paraId="56C99701" w14:textId="77777777" w:rsidTr="00743A2D">
        <w:trPr>
          <w:trHeight w:val="245"/>
        </w:trPr>
        <w:tc>
          <w:tcPr>
            <w:tcW w:w="754" w:type="dxa"/>
            <w:tcBorders>
              <w:bottom w:val="single" w:sz="4" w:space="0" w:color="auto"/>
            </w:tcBorders>
          </w:tcPr>
          <w:p w14:paraId="2894912C" w14:textId="3A503F2C" w:rsidR="00857CD1" w:rsidRPr="002F2AC7" w:rsidRDefault="008303B5" w:rsidP="006C708C">
            <w:pPr>
              <w:pStyle w:val="Bezproreda"/>
              <w:jc w:val="center"/>
              <w:rPr>
                <w:bCs/>
              </w:rPr>
            </w:pPr>
            <w:r>
              <w:rPr>
                <w:bCs/>
              </w:rPr>
              <w:t>-</w:t>
            </w:r>
          </w:p>
        </w:tc>
        <w:tc>
          <w:tcPr>
            <w:tcW w:w="949" w:type="dxa"/>
            <w:tcBorders>
              <w:bottom w:val="single" w:sz="4" w:space="0" w:color="auto"/>
            </w:tcBorders>
          </w:tcPr>
          <w:p w14:paraId="6691FCE1" w14:textId="055EE05E" w:rsidR="00857CD1" w:rsidRPr="002F2AC7" w:rsidRDefault="008303B5" w:rsidP="006C708C">
            <w:pPr>
              <w:pStyle w:val="Bezproreda"/>
              <w:jc w:val="center"/>
              <w:rPr>
                <w:bCs/>
                <w:sz w:val="18"/>
                <w:szCs w:val="18"/>
              </w:rPr>
            </w:pPr>
            <w:r>
              <w:rPr>
                <w:bCs/>
                <w:sz w:val="18"/>
                <w:szCs w:val="18"/>
              </w:rPr>
              <w:t>-</w:t>
            </w:r>
          </w:p>
        </w:tc>
        <w:tc>
          <w:tcPr>
            <w:tcW w:w="923" w:type="dxa"/>
            <w:tcBorders>
              <w:bottom w:val="single" w:sz="4" w:space="0" w:color="auto"/>
            </w:tcBorders>
          </w:tcPr>
          <w:p w14:paraId="099F30EA" w14:textId="5899EE18" w:rsidR="00857CD1" w:rsidRPr="002F2AC7" w:rsidRDefault="008303B5" w:rsidP="006C708C">
            <w:pPr>
              <w:pStyle w:val="Bezproreda"/>
              <w:jc w:val="center"/>
              <w:rPr>
                <w:bCs/>
                <w:sz w:val="18"/>
                <w:szCs w:val="18"/>
              </w:rPr>
            </w:pPr>
            <w:r>
              <w:rPr>
                <w:bCs/>
                <w:sz w:val="18"/>
                <w:szCs w:val="18"/>
              </w:rPr>
              <w:t>-</w:t>
            </w:r>
          </w:p>
        </w:tc>
        <w:tc>
          <w:tcPr>
            <w:tcW w:w="932" w:type="dxa"/>
            <w:tcBorders>
              <w:bottom w:val="single" w:sz="4" w:space="0" w:color="auto"/>
            </w:tcBorders>
          </w:tcPr>
          <w:p w14:paraId="3B242712" w14:textId="42779A51" w:rsidR="00857CD1" w:rsidRPr="002F2AC7" w:rsidRDefault="008303B5" w:rsidP="006C708C">
            <w:pPr>
              <w:pStyle w:val="Bezproreda"/>
              <w:jc w:val="center"/>
              <w:rPr>
                <w:bCs/>
                <w:sz w:val="18"/>
                <w:szCs w:val="18"/>
              </w:rPr>
            </w:pPr>
            <w:r>
              <w:rPr>
                <w:bCs/>
                <w:sz w:val="18"/>
                <w:szCs w:val="18"/>
              </w:rPr>
              <w:t>-</w:t>
            </w:r>
          </w:p>
        </w:tc>
        <w:tc>
          <w:tcPr>
            <w:tcW w:w="979" w:type="dxa"/>
            <w:tcBorders>
              <w:bottom w:val="single" w:sz="4" w:space="0" w:color="auto"/>
            </w:tcBorders>
          </w:tcPr>
          <w:p w14:paraId="74FBC1DD" w14:textId="79497306" w:rsidR="00857CD1" w:rsidRPr="002F2AC7" w:rsidRDefault="008303B5" w:rsidP="006C708C">
            <w:pPr>
              <w:pStyle w:val="Bezproreda"/>
              <w:jc w:val="center"/>
              <w:rPr>
                <w:bCs/>
                <w:sz w:val="18"/>
                <w:szCs w:val="18"/>
              </w:rPr>
            </w:pPr>
            <w:r>
              <w:rPr>
                <w:bCs/>
                <w:sz w:val="18"/>
                <w:szCs w:val="18"/>
              </w:rPr>
              <w:t>-</w:t>
            </w:r>
          </w:p>
        </w:tc>
        <w:tc>
          <w:tcPr>
            <w:tcW w:w="1281" w:type="dxa"/>
            <w:tcBorders>
              <w:bottom w:val="single" w:sz="4" w:space="0" w:color="auto"/>
            </w:tcBorders>
          </w:tcPr>
          <w:p w14:paraId="794943CD" w14:textId="52B33635" w:rsidR="00857CD1" w:rsidRPr="002F2AC7" w:rsidRDefault="008303B5" w:rsidP="006C708C">
            <w:pPr>
              <w:pStyle w:val="Bezproreda"/>
              <w:jc w:val="center"/>
              <w:rPr>
                <w:bCs/>
                <w:sz w:val="18"/>
                <w:szCs w:val="18"/>
              </w:rPr>
            </w:pPr>
            <w:r>
              <w:rPr>
                <w:bCs/>
                <w:sz w:val="18"/>
                <w:szCs w:val="18"/>
              </w:rPr>
              <w:t>-</w:t>
            </w:r>
          </w:p>
        </w:tc>
        <w:tc>
          <w:tcPr>
            <w:tcW w:w="1347" w:type="dxa"/>
            <w:tcBorders>
              <w:bottom w:val="single" w:sz="4" w:space="0" w:color="auto"/>
            </w:tcBorders>
          </w:tcPr>
          <w:p w14:paraId="0ABB0DE1" w14:textId="174056A2" w:rsidR="00857CD1" w:rsidRPr="002F2AC7" w:rsidRDefault="008303B5" w:rsidP="006C708C">
            <w:pPr>
              <w:pStyle w:val="Bezproreda"/>
              <w:jc w:val="center"/>
              <w:rPr>
                <w:bCs/>
                <w:sz w:val="18"/>
                <w:szCs w:val="18"/>
              </w:rPr>
            </w:pPr>
            <w:r>
              <w:rPr>
                <w:bCs/>
                <w:sz w:val="18"/>
                <w:szCs w:val="18"/>
              </w:rPr>
              <w:t>-</w:t>
            </w:r>
          </w:p>
        </w:tc>
        <w:tc>
          <w:tcPr>
            <w:tcW w:w="976" w:type="dxa"/>
            <w:tcBorders>
              <w:bottom w:val="single" w:sz="4" w:space="0" w:color="auto"/>
            </w:tcBorders>
          </w:tcPr>
          <w:p w14:paraId="451034B3" w14:textId="3522AB53" w:rsidR="00857CD1" w:rsidRPr="002F2AC7" w:rsidRDefault="008303B5" w:rsidP="006C708C">
            <w:pPr>
              <w:pStyle w:val="Bezproreda"/>
              <w:jc w:val="center"/>
              <w:rPr>
                <w:bCs/>
                <w:sz w:val="18"/>
                <w:szCs w:val="18"/>
              </w:rPr>
            </w:pPr>
            <w:r>
              <w:rPr>
                <w:bCs/>
                <w:sz w:val="18"/>
                <w:szCs w:val="18"/>
              </w:rPr>
              <w:t>-</w:t>
            </w:r>
          </w:p>
        </w:tc>
        <w:tc>
          <w:tcPr>
            <w:tcW w:w="1210" w:type="dxa"/>
            <w:tcBorders>
              <w:bottom w:val="single" w:sz="4" w:space="0" w:color="auto"/>
            </w:tcBorders>
          </w:tcPr>
          <w:p w14:paraId="19C28734" w14:textId="77777777" w:rsidR="00857CD1" w:rsidRPr="002F2AC7" w:rsidRDefault="006C708C" w:rsidP="006C708C">
            <w:pPr>
              <w:pStyle w:val="Bezproreda"/>
              <w:jc w:val="center"/>
              <w:rPr>
                <w:bCs/>
                <w:sz w:val="18"/>
                <w:szCs w:val="18"/>
              </w:rPr>
            </w:pPr>
            <w:r w:rsidRPr="002F2AC7">
              <w:rPr>
                <w:bCs/>
                <w:sz w:val="18"/>
                <w:szCs w:val="18"/>
              </w:rPr>
              <w:t>-</w:t>
            </w:r>
          </w:p>
        </w:tc>
      </w:tr>
      <w:tr w:rsidR="002F2AC7" w14:paraId="2E903178" w14:textId="77777777" w:rsidTr="00743A2D">
        <w:trPr>
          <w:trHeight w:val="258"/>
        </w:trPr>
        <w:tc>
          <w:tcPr>
            <w:tcW w:w="754" w:type="dxa"/>
            <w:tcBorders>
              <w:top w:val="single" w:sz="4" w:space="0" w:color="auto"/>
              <w:left w:val="nil"/>
              <w:bottom w:val="nil"/>
              <w:right w:val="nil"/>
            </w:tcBorders>
          </w:tcPr>
          <w:p w14:paraId="33B4F073" w14:textId="41375B09" w:rsidR="002F2AC7" w:rsidRPr="002F2AC7" w:rsidRDefault="002F2AC7" w:rsidP="00554978">
            <w:pPr>
              <w:pStyle w:val="Bezproreda"/>
              <w:rPr>
                <w:bCs/>
              </w:rPr>
            </w:pPr>
          </w:p>
        </w:tc>
        <w:tc>
          <w:tcPr>
            <w:tcW w:w="949" w:type="dxa"/>
            <w:tcBorders>
              <w:top w:val="single" w:sz="4" w:space="0" w:color="auto"/>
              <w:left w:val="nil"/>
              <w:bottom w:val="nil"/>
              <w:right w:val="nil"/>
            </w:tcBorders>
          </w:tcPr>
          <w:p w14:paraId="3F794252" w14:textId="7CB1848F" w:rsidR="002F2AC7" w:rsidRPr="002F2AC7" w:rsidRDefault="002F2AC7" w:rsidP="002F2AC7">
            <w:pPr>
              <w:pStyle w:val="Bezproreda"/>
              <w:jc w:val="center"/>
              <w:rPr>
                <w:bCs/>
                <w:sz w:val="18"/>
                <w:szCs w:val="18"/>
              </w:rPr>
            </w:pPr>
          </w:p>
        </w:tc>
        <w:tc>
          <w:tcPr>
            <w:tcW w:w="923" w:type="dxa"/>
            <w:tcBorders>
              <w:top w:val="single" w:sz="4" w:space="0" w:color="auto"/>
              <w:left w:val="nil"/>
              <w:bottom w:val="nil"/>
              <w:right w:val="nil"/>
            </w:tcBorders>
          </w:tcPr>
          <w:p w14:paraId="29F215C3" w14:textId="62915688" w:rsidR="002F2AC7" w:rsidRPr="002F2AC7" w:rsidRDefault="002F2AC7" w:rsidP="002F2AC7">
            <w:pPr>
              <w:pStyle w:val="Bezproreda"/>
              <w:jc w:val="center"/>
              <w:rPr>
                <w:bCs/>
                <w:sz w:val="18"/>
                <w:szCs w:val="18"/>
              </w:rPr>
            </w:pPr>
          </w:p>
        </w:tc>
        <w:tc>
          <w:tcPr>
            <w:tcW w:w="932" w:type="dxa"/>
            <w:tcBorders>
              <w:top w:val="single" w:sz="4" w:space="0" w:color="auto"/>
              <w:left w:val="nil"/>
              <w:bottom w:val="nil"/>
              <w:right w:val="nil"/>
            </w:tcBorders>
          </w:tcPr>
          <w:p w14:paraId="4739A8BD" w14:textId="0299D51C" w:rsidR="002F2AC7" w:rsidRPr="002F2AC7" w:rsidRDefault="002F2AC7" w:rsidP="002F2AC7">
            <w:pPr>
              <w:pStyle w:val="Bezproreda"/>
              <w:jc w:val="center"/>
              <w:rPr>
                <w:bCs/>
                <w:sz w:val="18"/>
                <w:szCs w:val="18"/>
              </w:rPr>
            </w:pPr>
          </w:p>
        </w:tc>
        <w:tc>
          <w:tcPr>
            <w:tcW w:w="979" w:type="dxa"/>
            <w:tcBorders>
              <w:top w:val="single" w:sz="4" w:space="0" w:color="auto"/>
              <w:left w:val="nil"/>
              <w:bottom w:val="nil"/>
              <w:right w:val="nil"/>
            </w:tcBorders>
          </w:tcPr>
          <w:p w14:paraId="0A0B3EC5" w14:textId="493147BC" w:rsidR="002F2AC7" w:rsidRPr="002F2AC7" w:rsidRDefault="002F2AC7" w:rsidP="002F2AC7">
            <w:pPr>
              <w:pStyle w:val="Bezproreda"/>
              <w:jc w:val="center"/>
              <w:rPr>
                <w:bCs/>
                <w:sz w:val="18"/>
                <w:szCs w:val="18"/>
              </w:rPr>
            </w:pPr>
          </w:p>
        </w:tc>
        <w:tc>
          <w:tcPr>
            <w:tcW w:w="1281" w:type="dxa"/>
            <w:tcBorders>
              <w:top w:val="single" w:sz="4" w:space="0" w:color="auto"/>
              <w:left w:val="nil"/>
              <w:bottom w:val="nil"/>
              <w:right w:val="nil"/>
            </w:tcBorders>
          </w:tcPr>
          <w:p w14:paraId="6C73B274" w14:textId="318B5464" w:rsidR="002F2AC7" w:rsidRPr="002F2AC7" w:rsidRDefault="002F2AC7" w:rsidP="002F2AC7">
            <w:pPr>
              <w:pStyle w:val="Bezproreda"/>
              <w:jc w:val="center"/>
              <w:rPr>
                <w:bCs/>
                <w:sz w:val="18"/>
                <w:szCs w:val="18"/>
              </w:rPr>
            </w:pPr>
          </w:p>
        </w:tc>
        <w:tc>
          <w:tcPr>
            <w:tcW w:w="1347" w:type="dxa"/>
            <w:tcBorders>
              <w:top w:val="single" w:sz="4" w:space="0" w:color="auto"/>
              <w:left w:val="nil"/>
              <w:bottom w:val="nil"/>
              <w:right w:val="nil"/>
            </w:tcBorders>
          </w:tcPr>
          <w:p w14:paraId="2D91F065" w14:textId="5252120D" w:rsidR="002F2AC7" w:rsidRPr="002F2AC7" w:rsidRDefault="002F2AC7" w:rsidP="002F2AC7">
            <w:pPr>
              <w:pStyle w:val="Bezproreda"/>
              <w:jc w:val="center"/>
              <w:rPr>
                <w:bCs/>
                <w:sz w:val="18"/>
                <w:szCs w:val="18"/>
              </w:rPr>
            </w:pPr>
          </w:p>
        </w:tc>
        <w:tc>
          <w:tcPr>
            <w:tcW w:w="976" w:type="dxa"/>
            <w:tcBorders>
              <w:top w:val="single" w:sz="4" w:space="0" w:color="auto"/>
              <w:left w:val="nil"/>
              <w:bottom w:val="nil"/>
              <w:right w:val="nil"/>
            </w:tcBorders>
          </w:tcPr>
          <w:p w14:paraId="52C02E07" w14:textId="0D56B45D" w:rsidR="002F2AC7" w:rsidRPr="002F2AC7" w:rsidRDefault="002F2AC7" w:rsidP="002F2AC7">
            <w:pPr>
              <w:pStyle w:val="Bezproreda"/>
              <w:jc w:val="center"/>
              <w:rPr>
                <w:bCs/>
                <w:sz w:val="18"/>
                <w:szCs w:val="18"/>
              </w:rPr>
            </w:pPr>
          </w:p>
        </w:tc>
        <w:tc>
          <w:tcPr>
            <w:tcW w:w="1210" w:type="dxa"/>
            <w:tcBorders>
              <w:top w:val="single" w:sz="4" w:space="0" w:color="auto"/>
              <w:left w:val="nil"/>
              <w:bottom w:val="nil"/>
              <w:right w:val="nil"/>
            </w:tcBorders>
          </w:tcPr>
          <w:p w14:paraId="31B2AC7E" w14:textId="77777777" w:rsidR="002F2AC7" w:rsidRPr="002F2AC7" w:rsidRDefault="002F2AC7" w:rsidP="002F2AC7">
            <w:pPr>
              <w:pStyle w:val="Bezproreda"/>
              <w:jc w:val="center"/>
              <w:rPr>
                <w:bCs/>
                <w:sz w:val="18"/>
                <w:szCs w:val="18"/>
              </w:rPr>
            </w:pPr>
          </w:p>
        </w:tc>
      </w:tr>
      <w:tr w:rsidR="002F2AC7" w14:paraId="4533A9E0" w14:textId="77777777" w:rsidTr="00743A2D">
        <w:trPr>
          <w:trHeight w:val="245"/>
        </w:trPr>
        <w:tc>
          <w:tcPr>
            <w:tcW w:w="754" w:type="dxa"/>
            <w:tcBorders>
              <w:top w:val="nil"/>
              <w:left w:val="nil"/>
              <w:bottom w:val="nil"/>
              <w:right w:val="nil"/>
            </w:tcBorders>
          </w:tcPr>
          <w:p w14:paraId="5072A7B2" w14:textId="0166F788" w:rsidR="002F2AC7" w:rsidRDefault="002F2AC7" w:rsidP="00F979CE">
            <w:pPr>
              <w:pStyle w:val="Bezproreda"/>
              <w:rPr>
                <w:bCs/>
              </w:rPr>
            </w:pPr>
          </w:p>
        </w:tc>
        <w:tc>
          <w:tcPr>
            <w:tcW w:w="949" w:type="dxa"/>
            <w:tcBorders>
              <w:top w:val="nil"/>
              <w:left w:val="nil"/>
              <w:bottom w:val="nil"/>
              <w:right w:val="nil"/>
            </w:tcBorders>
          </w:tcPr>
          <w:p w14:paraId="599827D6" w14:textId="45C0681D" w:rsidR="002F2AC7" w:rsidRPr="002F2AC7" w:rsidRDefault="002F2AC7" w:rsidP="002F2AC7">
            <w:pPr>
              <w:pStyle w:val="Bezproreda"/>
              <w:jc w:val="center"/>
              <w:rPr>
                <w:bCs/>
                <w:sz w:val="18"/>
                <w:szCs w:val="18"/>
              </w:rPr>
            </w:pPr>
          </w:p>
        </w:tc>
        <w:tc>
          <w:tcPr>
            <w:tcW w:w="923" w:type="dxa"/>
            <w:tcBorders>
              <w:top w:val="nil"/>
              <w:left w:val="nil"/>
              <w:bottom w:val="nil"/>
              <w:right w:val="nil"/>
            </w:tcBorders>
          </w:tcPr>
          <w:p w14:paraId="3D3D2438" w14:textId="5DD16945" w:rsidR="002F2AC7" w:rsidRPr="002F2AC7" w:rsidRDefault="002F2AC7" w:rsidP="002F2AC7">
            <w:pPr>
              <w:pStyle w:val="Bezproreda"/>
              <w:jc w:val="center"/>
              <w:rPr>
                <w:bCs/>
                <w:sz w:val="18"/>
                <w:szCs w:val="18"/>
              </w:rPr>
            </w:pPr>
          </w:p>
        </w:tc>
        <w:tc>
          <w:tcPr>
            <w:tcW w:w="932" w:type="dxa"/>
            <w:tcBorders>
              <w:top w:val="nil"/>
              <w:left w:val="nil"/>
              <w:bottom w:val="nil"/>
              <w:right w:val="nil"/>
            </w:tcBorders>
          </w:tcPr>
          <w:p w14:paraId="6DA34C43" w14:textId="294882DF" w:rsidR="002F2AC7" w:rsidRPr="002F2AC7" w:rsidRDefault="002F2AC7" w:rsidP="002F2AC7">
            <w:pPr>
              <w:pStyle w:val="Bezproreda"/>
              <w:jc w:val="center"/>
              <w:rPr>
                <w:bCs/>
                <w:sz w:val="18"/>
                <w:szCs w:val="18"/>
              </w:rPr>
            </w:pPr>
          </w:p>
        </w:tc>
        <w:tc>
          <w:tcPr>
            <w:tcW w:w="979" w:type="dxa"/>
            <w:tcBorders>
              <w:top w:val="nil"/>
              <w:left w:val="nil"/>
              <w:bottom w:val="nil"/>
              <w:right w:val="nil"/>
            </w:tcBorders>
          </w:tcPr>
          <w:p w14:paraId="2CB190F7" w14:textId="31B9358F" w:rsidR="002F2AC7" w:rsidRPr="002F2AC7" w:rsidRDefault="002F2AC7" w:rsidP="002F2AC7">
            <w:pPr>
              <w:pStyle w:val="Bezproreda"/>
              <w:jc w:val="center"/>
              <w:rPr>
                <w:bCs/>
                <w:sz w:val="18"/>
                <w:szCs w:val="18"/>
              </w:rPr>
            </w:pPr>
          </w:p>
        </w:tc>
        <w:tc>
          <w:tcPr>
            <w:tcW w:w="1281" w:type="dxa"/>
            <w:tcBorders>
              <w:top w:val="nil"/>
              <w:left w:val="nil"/>
              <w:bottom w:val="nil"/>
              <w:right w:val="nil"/>
            </w:tcBorders>
          </w:tcPr>
          <w:p w14:paraId="3313197D" w14:textId="61C3DB19" w:rsidR="002F2AC7" w:rsidRPr="002F2AC7" w:rsidRDefault="002F2AC7" w:rsidP="002F2AC7">
            <w:pPr>
              <w:pStyle w:val="Bezproreda"/>
              <w:jc w:val="center"/>
              <w:rPr>
                <w:bCs/>
                <w:sz w:val="18"/>
                <w:szCs w:val="18"/>
              </w:rPr>
            </w:pPr>
          </w:p>
        </w:tc>
        <w:tc>
          <w:tcPr>
            <w:tcW w:w="1347" w:type="dxa"/>
            <w:tcBorders>
              <w:top w:val="nil"/>
              <w:left w:val="nil"/>
              <w:bottom w:val="nil"/>
              <w:right w:val="nil"/>
            </w:tcBorders>
          </w:tcPr>
          <w:p w14:paraId="7EC5AE5E" w14:textId="7FBF1CE1" w:rsidR="002F2AC7" w:rsidRPr="002F2AC7" w:rsidRDefault="002F2AC7" w:rsidP="002F2AC7">
            <w:pPr>
              <w:pStyle w:val="Bezproreda"/>
              <w:jc w:val="center"/>
              <w:rPr>
                <w:bCs/>
                <w:sz w:val="18"/>
                <w:szCs w:val="18"/>
              </w:rPr>
            </w:pPr>
          </w:p>
        </w:tc>
        <w:tc>
          <w:tcPr>
            <w:tcW w:w="976" w:type="dxa"/>
            <w:tcBorders>
              <w:top w:val="nil"/>
              <w:left w:val="nil"/>
              <w:bottom w:val="nil"/>
              <w:right w:val="nil"/>
            </w:tcBorders>
          </w:tcPr>
          <w:p w14:paraId="00BF43D0" w14:textId="03AC3021" w:rsidR="002F2AC7" w:rsidRPr="002F2AC7" w:rsidRDefault="002F2AC7" w:rsidP="002F2AC7">
            <w:pPr>
              <w:pStyle w:val="Bezproreda"/>
              <w:jc w:val="center"/>
              <w:rPr>
                <w:bCs/>
                <w:sz w:val="18"/>
                <w:szCs w:val="18"/>
              </w:rPr>
            </w:pPr>
          </w:p>
        </w:tc>
        <w:tc>
          <w:tcPr>
            <w:tcW w:w="1210" w:type="dxa"/>
            <w:tcBorders>
              <w:top w:val="nil"/>
              <w:left w:val="nil"/>
              <w:bottom w:val="nil"/>
              <w:right w:val="nil"/>
            </w:tcBorders>
          </w:tcPr>
          <w:p w14:paraId="4499392F" w14:textId="77777777" w:rsidR="002F2AC7" w:rsidRPr="002F2AC7" w:rsidRDefault="002F2AC7" w:rsidP="002F2AC7">
            <w:pPr>
              <w:pStyle w:val="Bezproreda"/>
              <w:jc w:val="center"/>
              <w:rPr>
                <w:bCs/>
                <w:sz w:val="18"/>
                <w:szCs w:val="18"/>
              </w:rPr>
            </w:pPr>
          </w:p>
        </w:tc>
      </w:tr>
      <w:tr w:rsidR="002F2AC7" w14:paraId="59F83BA4" w14:textId="77777777" w:rsidTr="00743A2D">
        <w:trPr>
          <w:trHeight w:val="258"/>
        </w:trPr>
        <w:tc>
          <w:tcPr>
            <w:tcW w:w="754" w:type="dxa"/>
            <w:tcBorders>
              <w:top w:val="nil"/>
              <w:left w:val="nil"/>
              <w:bottom w:val="nil"/>
              <w:right w:val="nil"/>
            </w:tcBorders>
          </w:tcPr>
          <w:p w14:paraId="59C74FEE" w14:textId="05C31B2C" w:rsidR="002F2AC7" w:rsidRDefault="002F2AC7" w:rsidP="00743A2D">
            <w:pPr>
              <w:pStyle w:val="Bezproreda"/>
              <w:rPr>
                <w:bCs/>
              </w:rPr>
            </w:pPr>
          </w:p>
        </w:tc>
        <w:tc>
          <w:tcPr>
            <w:tcW w:w="949" w:type="dxa"/>
            <w:tcBorders>
              <w:top w:val="nil"/>
              <w:left w:val="nil"/>
              <w:bottom w:val="nil"/>
              <w:right w:val="nil"/>
            </w:tcBorders>
          </w:tcPr>
          <w:p w14:paraId="4E524B28" w14:textId="207363A9" w:rsidR="002F2AC7" w:rsidRPr="002F2AC7" w:rsidRDefault="002F2AC7" w:rsidP="002F2AC7">
            <w:pPr>
              <w:pStyle w:val="Bezproreda"/>
              <w:jc w:val="center"/>
              <w:rPr>
                <w:bCs/>
                <w:sz w:val="18"/>
                <w:szCs w:val="18"/>
              </w:rPr>
            </w:pPr>
          </w:p>
        </w:tc>
        <w:tc>
          <w:tcPr>
            <w:tcW w:w="923" w:type="dxa"/>
            <w:tcBorders>
              <w:top w:val="nil"/>
              <w:left w:val="nil"/>
              <w:bottom w:val="nil"/>
              <w:right w:val="nil"/>
            </w:tcBorders>
          </w:tcPr>
          <w:p w14:paraId="461A1460" w14:textId="41B6E4C6" w:rsidR="002F2AC7" w:rsidRPr="002F2AC7" w:rsidRDefault="002F2AC7" w:rsidP="002F2AC7">
            <w:pPr>
              <w:pStyle w:val="Bezproreda"/>
              <w:jc w:val="center"/>
              <w:rPr>
                <w:bCs/>
                <w:sz w:val="18"/>
                <w:szCs w:val="18"/>
              </w:rPr>
            </w:pPr>
          </w:p>
        </w:tc>
        <w:tc>
          <w:tcPr>
            <w:tcW w:w="932" w:type="dxa"/>
            <w:tcBorders>
              <w:top w:val="nil"/>
              <w:left w:val="nil"/>
              <w:bottom w:val="nil"/>
              <w:right w:val="nil"/>
            </w:tcBorders>
          </w:tcPr>
          <w:p w14:paraId="718C6E5B" w14:textId="7FB79AB4" w:rsidR="002F2AC7" w:rsidRPr="002F2AC7" w:rsidRDefault="002F2AC7" w:rsidP="002F2AC7">
            <w:pPr>
              <w:pStyle w:val="Bezproreda"/>
              <w:jc w:val="center"/>
              <w:rPr>
                <w:bCs/>
                <w:sz w:val="18"/>
                <w:szCs w:val="18"/>
              </w:rPr>
            </w:pPr>
          </w:p>
        </w:tc>
        <w:tc>
          <w:tcPr>
            <w:tcW w:w="979" w:type="dxa"/>
            <w:tcBorders>
              <w:top w:val="nil"/>
              <w:left w:val="nil"/>
              <w:bottom w:val="nil"/>
              <w:right w:val="nil"/>
            </w:tcBorders>
          </w:tcPr>
          <w:p w14:paraId="33727DD7" w14:textId="35FB2B44" w:rsidR="002F2AC7" w:rsidRPr="002F2AC7" w:rsidRDefault="002F2AC7" w:rsidP="002F2AC7">
            <w:pPr>
              <w:pStyle w:val="Bezproreda"/>
              <w:jc w:val="center"/>
              <w:rPr>
                <w:bCs/>
                <w:sz w:val="18"/>
                <w:szCs w:val="18"/>
              </w:rPr>
            </w:pPr>
          </w:p>
        </w:tc>
        <w:tc>
          <w:tcPr>
            <w:tcW w:w="1281" w:type="dxa"/>
            <w:tcBorders>
              <w:top w:val="nil"/>
              <w:left w:val="nil"/>
              <w:bottom w:val="nil"/>
              <w:right w:val="nil"/>
            </w:tcBorders>
          </w:tcPr>
          <w:p w14:paraId="4A52606B" w14:textId="3097433C" w:rsidR="002F2AC7" w:rsidRPr="002F2AC7" w:rsidRDefault="002F2AC7" w:rsidP="002F2AC7">
            <w:pPr>
              <w:pStyle w:val="Bezproreda"/>
              <w:jc w:val="center"/>
              <w:rPr>
                <w:bCs/>
                <w:sz w:val="18"/>
                <w:szCs w:val="18"/>
              </w:rPr>
            </w:pPr>
          </w:p>
        </w:tc>
        <w:tc>
          <w:tcPr>
            <w:tcW w:w="1347" w:type="dxa"/>
            <w:tcBorders>
              <w:top w:val="nil"/>
              <w:left w:val="nil"/>
              <w:bottom w:val="nil"/>
              <w:right w:val="nil"/>
            </w:tcBorders>
          </w:tcPr>
          <w:p w14:paraId="5549D55E" w14:textId="45B44A68" w:rsidR="002F2AC7" w:rsidRPr="002F2AC7" w:rsidRDefault="002F2AC7" w:rsidP="002F2AC7">
            <w:pPr>
              <w:pStyle w:val="Bezproreda"/>
              <w:jc w:val="center"/>
              <w:rPr>
                <w:bCs/>
                <w:sz w:val="18"/>
                <w:szCs w:val="18"/>
              </w:rPr>
            </w:pPr>
          </w:p>
        </w:tc>
        <w:tc>
          <w:tcPr>
            <w:tcW w:w="976" w:type="dxa"/>
            <w:tcBorders>
              <w:top w:val="nil"/>
              <w:left w:val="nil"/>
              <w:bottom w:val="nil"/>
              <w:right w:val="nil"/>
            </w:tcBorders>
          </w:tcPr>
          <w:p w14:paraId="0C8B5197" w14:textId="6632CB76" w:rsidR="002F2AC7" w:rsidRPr="002F2AC7" w:rsidRDefault="002F2AC7" w:rsidP="002F2AC7">
            <w:pPr>
              <w:pStyle w:val="Bezproreda"/>
              <w:jc w:val="center"/>
              <w:rPr>
                <w:bCs/>
                <w:sz w:val="18"/>
                <w:szCs w:val="18"/>
              </w:rPr>
            </w:pPr>
          </w:p>
        </w:tc>
        <w:tc>
          <w:tcPr>
            <w:tcW w:w="1210" w:type="dxa"/>
            <w:tcBorders>
              <w:top w:val="nil"/>
              <w:left w:val="nil"/>
              <w:bottom w:val="nil"/>
              <w:right w:val="nil"/>
            </w:tcBorders>
          </w:tcPr>
          <w:p w14:paraId="57C5CA8C" w14:textId="77777777" w:rsidR="002F2AC7" w:rsidRPr="002F2AC7" w:rsidRDefault="002F2AC7" w:rsidP="002F2AC7">
            <w:pPr>
              <w:pStyle w:val="Bezproreda"/>
              <w:jc w:val="center"/>
              <w:rPr>
                <w:bCs/>
                <w:sz w:val="18"/>
                <w:szCs w:val="18"/>
              </w:rPr>
            </w:pPr>
          </w:p>
        </w:tc>
      </w:tr>
    </w:tbl>
    <w:p w14:paraId="15400871" w14:textId="379661B0" w:rsidR="00743A2D" w:rsidRDefault="00A05A88" w:rsidP="003A5EBF">
      <w:pPr>
        <w:pStyle w:val="Bezproreda"/>
      </w:pPr>
      <w:r w:rsidRPr="001F3715">
        <w:rPr>
          <w:u w:val="single"/>
        </w:rPr>
        <w:t>Bilješka broj 3</w:t>
      </w:r>
      <w:r>
        <w:t xml:space="preserve"> – Komunikacijska oprema </w:t>
      </w:r>
      <w:r w:rsidR="001F3715">
        <w:t xml:space="preserve">0222 </w:t>
      </w:r>
      <w:r>
        <w:t xml:space="preserve">– stanje na dan 31.12.2022. se u odnosu na stanje 01.01.2022. smanjilo zbog isknjiženja i </w:t>
      </w:r>
      <w:r w:rsidR="001F3715">
        <w:t xml:space="preserve"> odvoza na otpad </w:t>
      </w:r>
      <w:r>
        <w:t xml:space="preserve"> stare, dotrajale i neupotrebljive opreme</w:t>
      </w:r>
      <w:r w:rsidR="001F3715">
        <w:t>.</w:t>
      </w:r>
      <w:r w:rsidR="00554978">
        <w:t xml:space="preserve"> U </w:t>
      </w:r>
      <w:r w:rsidR="00554978">
        <w:lastRenderedPageBreak/>
        <w:t>stupcu stanje 1.siječnja je u odnosu na prošlogodišnji izvještaj (stanje 31.12.2021.) povećano za 1,00 kunu zbog zaokruživanja, te umjesto 94.104 kune iznosi 94.105 kuna.</w:t>
      </w:r>
    </w:p>
    <w:p w14:paraId="02FCB877" w14:textId="4B84BDA0" w:rsidR="00050EC0" w:rsidRDefault="00050EC0" w:rsidP="003A5EBF">
      <w:pPr>
        <w:pStyle w:val="Bezproreda"/>
      </w:pPr>
      <w:r w:rsidRPr="00050EC0">
        <w:rPr>
          <w:u w:val="single"/>
        </w:rPr>
        <w:t>Bilješka broj 4</w:t>
      </w:r>
      <w:r>
        <w:t>-Građevinski objekti u pripremi-051-iznos na ovoj poziciji odnosi se na prikupljenu dokumentaciju (projekti i dozvole) za dogradnju multifunkcionalnog prostora i školske knjižnice na sportskoj dvorani matične škole u Krapini.</w:t>
      </w:r>
    </w:p>
    <w:p w14:paraId="77652867" w14:textId="0B5F08A3" w:rsidR="001F3715" w:rsidRDefault="001F3715" w:rsidP="003A5EBF">
      <w:pPr>
        <w:pStyle w:val="Bezproreda"/>
      </w:pPr>
      <w:r w:rsidRPr="001F3715">
        <w:rPr>
          <w:u w:val="single"/>
        </w:rPr>
        <w:t>Bilješka br</w:t>
      </w:r>
      <w:r w:rsidR="00306705">
        <w:rPr>
          <w:u w:val="single"/>
        </w:rPr>
        <w:t xml:space="preserve">oj </w:t>
      </w:r>
      <w:r w:rsidR="00050EC0">
        <w:rPr>
          <w:u w:val="single"/>
        </w:rPr>
        <w:t>5</w:t>
      </w:r>
      <w:r>
        <w:t xml:space="preserve"> – Novac na računu kod tuzemnih poslovnih banaka- </w:t>
      </w:r>
      <w:r w:rsidR="005B5306">
        <w:t xml:space="preserve">1112- </w:t>
      </w:r>
      <w:r>
        <w:t>stanje na dan 31.12.2022. u odnosu na 01.01.2022. je znatno veće zbog većeg priljeva novčanih sredstava krajem prosinca, a biti će  utrošeni na otvorene obveze, odnosno na plaćanje računa koje se odnose na 2022. godinu,</w:t>
      </w:r>
      <w:r w:rsidR="00664224">
        <w:t xml:space="preserve"> a</w:t>
      </w:r>
      <w:r>
        <w:t xml:space="preserve"> koji su dobiveni početkom siječnja 2023.</w:t>
      </w:r>
    </w:p>
    <w:p w14:paraId="3B4A909E" w14:textId="66218FA6" w:rsidR="005B5306" w:rsidRDefault="005B5306" w:rsidP="003A5EBF">
      <w:pPr>
        <w:pStyle w:val="Bezproreda"/>
      </w:pPr>
      <w:r w:rsidRPr="005B5306">
        <w:rPr>
          <w:u w:val="single"/>
        </w:rPr>
        <w:t>Bilješka br</w:t>
      </w:r>
      <w:r w:rsidR="00306705">
        <w:rPr>
          <w:u w:val="single"/>
        </w:rPr>
        <w:t xml:space="preserve">oj </w:t>
      </w:r>
      <w:r w:rsidR="00050EC0">
        <w:rPr>
          <w:u w:val="single"/>
        </w:rPr>
        <w:t>6</w:t>
      </w:r>
      <w:r>
        <w:t xml:space="preserve"> – Ostala potraživanja-129-stanje na dan 31.12.2022. veće je u odnosu na stanje 01.01.2022., iako je provedeno zatvaranje potraživanja između ministarstva i HZZO-, zbog velikog broja bolovanja na teret HZZO-a.</w:t>
      </w:r>
    </w:p>
    <w:p w14:paraId="54D91F05" w14:textId="3B318E0C" w:rsidR="005B5306" w:rsidRDefault="005B5306" w:rsidP="003A5EBF">
      <w:pPr>
        <w:pStyle w:val="Bezproreda"/>
      </w:pPr>
      <w:r w:rsidRPr="005B5306">
        <w:rPr>
          <w:u w:val="single"/>
        </w:rPr>
        <w:t>Bilješka br</w:t>
      </w:r>
      <w:r w:rsidR="00306705">
        <w:rPr>
          <w:u w:val="single"/>
        </w:rPr>
        <w:t xml:space="preserve">oj </w:t>
      </w:r>
      <w:r w:rsidR="00050EC0">
        <w:rPr>
          <w:u w:val="single"/>
        </w:rPr>
        <w:t>7</w:t>
      </w:r>
      <w:r>
        <w:t xml:space="preserve"> – Potraživanja za pomoći proračunskim korisnicima iz proračuna koji im nije nadležan-1636- stanje na dan 31.12. manje je od stanja na dan 01.01., odnosi se na potraživanje za projekt „Zalogajček“ prehranu učenika u riziku od siromaštva, za prosinac 2022.</w:t>
      </w:r>
    </w:p>
    <w:p w14:paraId="4DD0F156" w14:textId="6E27CDD3" w:rsidR="005B5306" w:rsidRDefault="005B5306" w:rsidP="003A5EBF">
      <w:pPr>
        <w:pStyle w:val="Bezproreda"/>
      </w:pPr>
      <w:r w:rsidRPr="00235517">
        <w:rPr>
          <w:u w:val="single"/>
        </w:rPr>
        <w:t>Bilješka br</w:t>
      </w:r>
      <w:r w:rsidR="00306705">
        <w:rPr>
          <w:u w:val="single"/>
        </w:rPr>
        <w:t xml:space="preserve">oj </w:t>
      </w:r>
      <w:r w:rsidR="00050EC0">
        <w:rPr>
          <w:u w:val="single"/>
        </w:rPr>
        <w:t>8</w:t>
      </w:r>
      <w:r>
        <w:t xml:space="preserve"> – Potraživanja za upravne i administrativne pristojbe, pristojbe po posebnim propisima i naknade</w:t>
      </w:r>
      <w:r w:rsidR="00235517">
        <w:t>-165- odnosi se na potraživanje od učenika za prehranu u školskoj kuhinji, stanje na dan 31.12. veće je u odnosu na 01.01.2022. zbog slabije naplate prihoda a i cijena prehrane po danu povećana je s 5,00 kuna koliko je iznosilo u prosincu 2021.</w:t>
      </w:r>
      <w:r w:rsidR="00F34989">
        <w:t>,</w:t>
      </w:r>
      <w:r w:rsidR="00235517">
        <w:t xml:space="preserve"> na 7,00 kuna (od rujna 2022.) što također utječe na povećanje iznosa u odnosu na prethodno razdoblje.</w:t>
      </w:r>
    </w:p>
    <w:p w14:paraId="5736BBE0" w14:textId="444CED6C" w:rsidR="00235517" w:rsidRDefault="00306705" w:rsidP="003A5EBF">
      <w:pPr>
        <w:pStyle w:val="Bezproreda"/>
      </w:pPr>
      <w:r>
        <w:rPr>
          <w:u w:val="single"/>
        </w:rPr>
        <w:t xml:space="preserve">Bilješka broj </w:t>
      </w:r>
      <w:r w:rsidR="00050EC0">
        <w:rPr>
          <w:u w:val="single"/>
        </w:rPr>
        <w:t>9</w:t>
      </w:r>
      <w:r w:rsidR="00235517">
        <w:t xml:space="preserve"> – Potraživanja za prihode od prodaje proizvoda i robe te pruženih usluga i za povrat po protestiranim jamstvima-166-odnosi se na potraživanje za prehranu radnika u školskoj kuhinji i iznajmljivanje školskog prostora</w:t>
      </w:r>
      <w:r w:rsidR="00773E80">
        <w:t xml:space="preserve"> za račune izdane za prosinac 2022.,  stanje je na dan 31.12. veće u odnosu na dan 01.01. zbog toga što se školska sportska dvorana iznajmljuje u većoj mjeri nego u proteklom razdoblju.</w:t>
      </w:r>
    </w:p>
    <w:p w14:paraId="119011C5" w14:textId="7A00C370" w:rsidR="00773E80" w:rsidRDefault="00773E80" w:rsidP="003A5EBF">
      <w:pPr>
        <w:pStyle w:val="Bezproreda"/>
      </w:pPr>
      <w:r w:rsidRPr="00773E80">
        <w:rPr>
          <w:u w:val="single"/>
        </w:rPr>
        <w:t>Bilješka br</w:t>
      </w:r>
      <w:r w:rsidR="00306705">
        <w:rPr>
          <w:u w:val="single"/>
        </w:rPr>
        <w:t xml:space="preserve">oj </w:t>
      </w:r>
      <w:r w:rsidR="00050EC0">
        <w:rPr>
          <w:u w:val="single"/>
        </w:rPr>
        <w:t>10</w:t>
      </w:r>
      <w:r>
        <w:t>-Potraživanja od prodaje proizvedene dugotrajne imovine-172-odnosi se na potraživanje od prodaje stana i manje je na dan 31.12. u odnosu na 01.01. zbog redovite otplate.</w:t>
      </w:r>
    </w:p>
    <w:p w14:paraId="53FCF7D3" w14:textId="5C9F12C0" w:rsidR="00773E80" w:rsidRDefault="00773E80" w:rsidP="003A5EBF">
      <w:pPr>
        <w:pStyle w:val="Bezproreda"/>
      </w:pPr>
      <w:r w:rsidRPr="00773E80">
        <w:rPr>
          <w:u w:val="single"/>
        </w:rPr>
        <w:t>Bilješka br</w:t>
      </w:r>
      <w:r w:rsidR="00306705">
        <w:rPr>
          <w:u w:val="single"/>
        </w:rPr>
        <w:t xml:space="preserve">oj </w:t>
      </w:r>
      <w:r w:rsidR="00050EC0">
        <w:rPr>
          <w:u w:val="single"/>
        </w:rPr>
        <w:t>11</w:t>
      </w:r>
      <w:r>
        <w:t>-Kontinuitani rashodi budućih razdoblja- odnose se na plaću i naknade za prosinac 2022. godine, stanje na dan 31.12. veće je nego na dan 01.01. zbog povećanja osnovice za isplatu plaće.</w:t>
      </w:r>
    </w:p>
    <w:p w14:paraId="79164B3C" w14:textId="2AD36830" w:rsidR="004A15E2" w:rsidRDefault="00306705" w:rsidP="003A5EBF">
      <w:pPr>
        <w:pStyle w:val="Bezproreda"/>
      </w:pPr>
      <w:r>
        <w:rPr>
          <w:u w:val="single"/>
        </w:rPr>
        <w:t xml:space="preserve">Bilješka broj </w:t>
      </w:r>
      <w:r w:rsidR="00050EC0">
        <w:rPr>
          <w:u w:val="single"/>
        </w:rPr>
        <w:t>12</w:t>
      </w:r>
      <w:r w:rsidR="00773E80">
        <w:t>-Obveze za ostale financijske rashode-2343- Stanje na dan 31.12. manje je u odnosu na dan 01.01. iz razloga što je u prethodnom razdoblju škola imala obvezu</w:t>
      </w:r>
      <w:r w:rsidR="004A15E2">
        <w:t xml:space="preserve"> prema sudskim presudama za</w:t>
      </w:r>
      <w:r w:rsidR="00773E80">
        <w:t xml:space="preserve"> plaćanj</w:t>
      </w:r>
      <w:r w:rsidR="004A15E2">
        <w:t>e</w:t>
      </w:r>
      <w:r w:rsidR="00773E80">
        <w:t xml:space="preserve"> </w:t>
      </w:r>
      <w:r w:rsidR="0039724A">
        <w:t>zateznih kamata za</w:t>
      </w:r>
      <w:r w:rsidR="004A15E2">
        <w:t xml:space="preserve"> poreze, doprinose i na troškove sudskih postupaka zbog neisplate povećanja plaće za 6%. </w:t>
      </w:r>
    </w:p>
    <w:p w14:paraId="06B6FE6C" w14:textId="476299BF" w:rsidR="00773E80" w:rsidRDefault="004A15E2" w:rsidP="003A5EBF">
      <w:pPr>
        <w:pStyle w:val="Bezproreda"/>
      </w:pPr>
      <w:r w:rsidRPr="009A0026">
        <w:rPr>
          <w:u w:val="single"/>
        </w:rPr>
        <w:t>Bilješka br</w:t>
      </w:r>
      <w:r w:rsidR="00306705">
        <w:rPr>
          <w:u w:val="single"/>
        </w:rPr>
        <w:t xml:space="preserve">oj </w:t>
      </w:r>
      <w:r w:rsidRPr="009A0026">
        <w:rPr>
          <w:u w:val="single"/>
        </w:rPr>
        <w:t>13</w:t>
      </w:r>
      <w:r>
        <w:t xml:space="preserve">-višak/manjak prihoda-922- ostvaren je višak prihoda, škola u proteklom razdoblju </w:t>
      </w:r>
      <w:r w:rsidR="0039724A">
        <w:t xml:space="preserve"> </w:t>
      </w:r>
      <w:r>
        <w:t xml:space="preserve">nije ulazila u značajnije nabave </w:t>
      </w:r>
      <w:r w:rsidR="009A0026">
        <w:t xml:space="preserve">opreme za poslovanje. </w:t>
      </w:r>
    </w:p>
    <w:p w14:paraId="14D02A78" w14:textId="02EDEDEB" w:rsidR="009A0026" w:rsidRDefault="00306705" w:rsidP="003A5EBF">
      <w:pPr>
        <w:pStyle w:val="Bezproreda"/>
      </w:pPr>
      <w:r>
        <w:rPr>
          <w:u w:val="single"/>
        </w:rPr>
        <w:t xml:space="preserve">Bilješka broj </w:t>
      </w:r>
      <w:r w:rsidR="009A0026" w:rsidRPr="004D35DA">
        <w:rPr>
          <w:u w:val="single"/>
        </w:rPr>
        <w:t>14</w:t>
      </w:r>
      <w:r w:rsidR="009A0026">
        <w:t>- Izvanbilančni zapisi-991,996- stanje na dan 31.12. manje je u odnosu na dan 01.01. iz razloga što su svi sudski sporovi koje je škola imala sa radnicima zbog neisplate povećanja plaće od 6 % završili te su navedeni računi zatvoreni. Preostali iznos na navedenim računima odnosi se na  tuđu</w:t>
      </w:r>
      <w:r w:rsidR="002E673B">
        <w:t xml:space="preserve"> imovinu dobivenu na korištenje: tablete, prijenosna računala i projektore od Caneta/MZO</w:t>
      </w:r>
      <w:r w:rsidR="004D35DA">
        <w:t xml:space="preserve"> za koje nije napravljen prijenos vlasništva. Također, u izvanbilančnoj evidenciji vodi se i fotokopirni aparat dobiven na korištenje od dobavljača Copia Forum.</w:t>
      </w:r>
    </w:p>
    <w:p w14:paraId="6BFB7180" w14:textId="346C3554" w:rsidR="004D35DA" w:rsidRDefault="004D35DA" w:rsidP="003A5EBF">
      <w:pPr>
        <w:pStyle w:val="Bezproreda"/>
      </w:pPr>
      <w:r w:rsidRPr="00F71557">
        <w:rPr>
          <w:u w:val="single"/>
        </w:rPr>
        <w:t>Bilješka br</w:t>
      </w:r>
      <w:r w:rsidR="00306705">
        <w:rPr>
          <w:u w:val="single"/>
        </w:rPr>
        <w:t xml:space="preserve">oj </w:t>
      </w:r>
      <w:r w:rsidRPr="00F71557">
        <w:rPr>
          <w:u w:val="single"/>
        </w:rPr>
        <w:t>15</w:t>
      </w:r>
      <w:r>
        <w:t>-Potraživanja za prihode poslovanja-dospjela-dio 16 D- Iako se redovito poduzimaju mjere pravodobne naplate prihoda i šalju opomene zbog neplaćanja, stanje na dan 31.1</w:t>
      </w:r>
      <w:r w:rsidR="003F02D0">
        <w:t>2</w:t>
      </w:r>
      <w:r>
        <w:t xml:space="preserve">. veće je u odnosu na dan 01.01. Cjelokupni iznos se odnosi na potraživanje od učenika za prehranu u školskoj kuhinji. </w:t>
      </w:r>
    </w:p>
    <w:p w14:paraId="3F5C7B01" w14:textId="54050C3B" w:rsidR="004D35DA" w:rsidRDefault="004D35DA" w:rsidP="003A5EBF">
      <w:pPr>
        <w:pStyle w:val="Bezproreda"/>
      </w:pPr>
      <w:r w:rsidRPr="00F71557">
        <w:rPr>
          <w:u w:val="single"/>
        </w:rPr>
        <w:t>Bilješka br</w:t>
      </w:r>
      <w:r w:rsidR="00306705">
        <w:rPr>
          <w:u w:val="single"/>
        </w:rPr>
        <w:t xml:space="preserve">oj </w:t>
      </w:r>
      <w:r w:rsidRPr="00F71557">
        <w:rPr>
          <w:u w:val="single"/>
        </w:rPr>
        <w:t>16</w:t>
      </w:r>
      <w:r>
        <w:t>-Potraživanja za prihode poslovanja-nedospjela- dio 16 N- stanje na dan 31.12. veće je u odnosu na dan 01.01., odnosi se na račune izdane na kraju prosinca za</w:t>
      </w:r>
      <w:r w:rsidR="00F71557">
        <w:t xml:space="preserve"> projekt „Zalogajček“,</w:t>
      </w:r>
      <w:r>
        <w:t xml:space="preserve"> prehranu u školskoj kuhinji te na račune izdane za iznajmljivanje š</w:t>
      </w:r>
      <w:r w:rsidR="00F71557">
        <w:t>kolskog prostora; dospijeće im je u siječnju 2023.</w:t>
      </w:r>
    </w:p>
    <w:p w14:paraId="32F52409" w14:textId="31550341" w:rsidR="00F71557" w:rsidRDefault="00306705" w:rsidP="003A5EBF">
      <w:pPr>
        <w:pStyle w:val="Bezproreda"/>
      </w:pPr>
      <w:r>
        <w:rPr>
          <w:u w:val="single"/>
        </w:rPr>
        <w:t xml:space="preserve">Bilješka broj </w:t>
      </w:r>
      <w:r w:rsidR="00F71557" w:rsidRPr="00F71557">
        <w:rPr>
          <w:u w:val="single"/>
        </w:rPr>
        <w:t>17</w:t>
      </w:r>
      <w:r w:rsidR="00F71557">
        <w:t>-Potraživanja od prodaje nefinancijske imovine-nedospjela- dio 17 N- stanje na dan 31.12. manje je u odnosu na 01.01., rate za kupljeni stan se redovito otplaćuju.</w:t>
      </w:r>
    </w:p>
    <w:p w14:paraId="0F473AF2" w14:textId="61802430" w:rsidR="00F71557" w:rsidRDefault="00306705" w:rsidP="003A5EBF">
      <w:pPr>
        <w:pStyle w:val="Bezproreda"/>
      </w:pPr>
      <w:r>
        <w:rPr>
          <w:u w:val="single"/>
        </w:rPr>
        <w:lastRenderedPageBreak/>
        <w:t xml:space="preserve">Bilješka broj </w:t>
      </w:r>
      <w:r w:rsidR="00F71557" w:rsidRPr="00F71557">
        <w:rPr>
          <w:u w:val="single"/>
        </w:rPr>
        <w:t>18</w:t>
      </w:r>
      <w:r w:rsidR="00F71557">
        <w:t>-Potraživanja za predujmove-12912- stanje na dan 01.01. odnosi se na nabavu časopisa koji je plaćen predračunom, 31.12. nije ostvareno, odnosno za sva plaćanja predračunom računi su pravodobno stigli.</w:t>
      </w:r>
    </w:p>
    <w:p w14:paraId="6A58F452" w14:textId="3E96E5B2" w:rsidR="00F71557" w:rsidRDefault="003F02D0" w:rsidP="003A5EBF">
      <w:pPr>
        <w:pStyle w:val="Bezproreda"/>
      </w:pPr>
      <w:r w:rsidRPr="003F02D0">
        <w:rPr>
          <w:u w:val="single"/>
        </w:rPr>
        <w:t>Bilješka br</w:t>
      </w:r>
      <w:r w:rsidR="00306705">
        <w:rPr>
          <w:u w:val="single"/>
        </w:rPr>
        <w:t xml:space="preserve">oj </w:t>
      </w:r>
      <w:r w:rsidRPr="003F02D0">
        <w:rPr>
          <w:u w:val="single"/>
        </w:rPr>
        <w:t>19</w:t>
      </w:r>
      <w:r>
        <w:t>-Ostale nespomenute obveze-23954 stanje na dan 01.01. iznosilo je 30,00 kn i odnosilo se na previše plaćen račun za školsku prehranu,  stanje na dan 31.12. nije ostvareno.</w:t>
      </w:r>
    </w:p>
    <w:p w14:paraId="2E72125F" w14:textId="243D43D1" w:rsidR="003F02D0" w:rsidRDefault="003F02D0" w:rsidP="003A5EBF">
      <w:pPr>
        <w:pStyle w:val="Bezproreda"/>
      </w:pPr>
      <w:r w:rsidRPr="003F02D0">
        <w:rPr>
          <w:u w:val="single"/>
        </w:rPr>
        <w:t>Bilješka br</w:t>
      </w:r>
      <w:r w:rsidR="00306705">
        <w:rPr>
          <w:u w:val="single"/>
        </w:rPr>
        <w:t xml:space="preserve">oj </w:t>
      </w:r>
      <w:r w:rsidRPr="003F02D0">
        <w:rPr>
          <w:u w:val="single"/>
        </w:rPr>
        <w:t>20</w:t>
      </w:r>
      <w:r>
        <w:t>-obveze za naplaćene tuđe prihode-23955-stanje na dan 31. 12. manje je u odnosu na 01.01. iz razloga što je izvršena uplata 65% prihoda od prodanih stanova u Državni proračun.</w:t>
      </w:r>
    </w:p>
    <w:p w14:paraId="4CB70CBC" w14:textId="77777777" w:rsidR="003F02D0" w:rsidRDefault="003F02D0" w:rsidP="003A5EBF">
      <w:pPr>
        <w:pStyle w:val="Bezproreda"/>
      </w:pPr>
    </w:p>
    <w:p w14:paraId="632C6DBF" w14:textId="77777777" w:rsidR="003F02D0" w:rsidRDefault="003F02D0" w:rsidP="003F02D0">
      <w:r>
        <w:t>Promjene na ostalim pozicijama Obrasca Bilance su neznatne i nemaju značajnijeg  utjecaja na Bilancu.</w:t>
      </w:r>
    </w:p>
    <w:p w14:paraId="723B63BF" w14:textId="77777777" w:rsidR="00F06302" w:rsidRDefault="00F06302" w:rsidP="003A5EBF">
      <w:pPr>
        <w:pStyle w:val="Bezproreda"/>
      </w:pPr>
    </w:p>
    <w:p w14:paraId="6B6E79D0" w14:textId="77777777" w:rsidR="00DF11AC" w:rsidRDefault="00DF11AC" w:rsidP="00DF11AC">
      <w:pPr>
        <w:pStyle w:val="Odlomakpopisa"/>
        <w:numPr>
          <w:ilvl w:val="0"/>
          <w:numId w:val="1"/>
        </w:numPr>
        <w:rPr>
          <w:b/>
        </w:rPr>
      </w:pPr>
      <w:r w:rsidRPr="00DF11AC">
        <w:rPr>
          <w:b/>
        </w:rPr>
        <w:t>Bilješke uz Izvještaj o prihodima i rashodima, primicima i izdacima</w:t>
      </w:r>
    </w:p>
    <w:p w14:paraId="38E34E5D" w14:textId="55273178" w:rsidR="0099192A" w:rsidRDefault="00DA6F99" w:rsidP="003A5EBF">
      <w:pPr>
        <w:pStyle w:val="Bezproreda"/>
      </w:pPr>
      <w:r w:rsidRPr="00B568CE">
        <w:rPr>
          <w:u w:val="single"/>
        </w:rPr>
        <w:t xml:space="preserve">Bilješka broj </w:t>
      </w:r>
      <w:r w:rsidR="00F34989">
        <w:rPr>
          <w:u w:val="single"/>
        </w:rPr>
        <w:t>2</w:t>
      </w:r>
      <w:r w:rsidR="00DA361F" w:rsidRPr="00B568CE">
        <w:rPr>
          <w:u w:val="single"/>
        </w:rPr>
        <w:t>1</w:t>
      </w:r>
      <w:r w:rsidR="00077062">
        <w:t xml:space="preserve"> – </w:t>
      </w:r>
      <w:r w:rsidR="00F34989">
        <w:t>Kapitalne pomoći proračunskim korisnicima iz proračuna koji im nije nadležan-6362-prethodne godine dobivena su sredstva Ministarstva kulture za izmjenu dotrajale unutarnje stolarije, u tekućem izvještajnom razdoblju prikazani iznos je manji iz razloga što škola nije dobila sredstva na ponovnom natječaju Ministarstva kulture na koji se prijavila s ciljem da dobivenim sredstvima izmijeni preostalu staru unutarnju stolariju u zgradi matične škole u Krapini.</w:t>
      </w:r>
    </w:p>
    <w:p w14:paraId="03422074" w14:textId="66F1C8DD" w:rsidR="007C18C1" w:rsidRDefault="007C18C1" w:rsidP="003A5EBF">
      <w:pPr>
        <w:pStyle w:val="Bezproreda"/>
      </w:pPr>
      <w:r w:rsidRPr="00B568CE">
        <w:rPr>
          <w:u w:val="single"/>
        </w:rPr>
        <w:t xml:space="preserve">Bilješka broj </w:t>
      </w:r>
      <w:r w:rsidR="00F34989">
        <w:rPr>
          <w:u w:val="single"/>
        </w:rPr>
        <w:t>2</w:t>
      </w:r>
      <w:r w:rsidR="00DA361F" w:rsidRPr="00B568CE">
        <w:rPr>
          <w:u w:val="single"/>
        </w:rPr>
        <w:t>2</w:t>
      </w:r>
      <w:r w:rsidR="00B568CE">
        <w:t xml:space="preserve"> </w:t>
      </w:r>
      <w:r w:rsidR="00F34989">
        <w:t>–</w:t>
      </w:r>
      <w:r w:rsidR="00B568CE">
        <w:t xml:space="preserve"> </w:t>
      </w:r>
      <w:r w:rsidR="00F34989">
        <w:t xml:space="preserve">Kamate na oročena sredstva i depozite po viđenju-6413- u prethodnoj godini iznos nije prikazan </w:t>
      </w:r>
      <w:r w:rsidR="007B0BA8">
        <w:t>zbog toga što se nisu prikazivali iznosi u lipama.</w:t>
      </w:r>
    </w:p>
    <w:p w14:paraId="2B7F0E4D" w14:textId="21EF5956" w:rsidR="009E5DCA" w:rsidRDefault="000B6E3D" w:rsidP="003A5EBF">
      <w:pPr>
        <w:pStyle w:val="Bezproreda"/>
      </w:pPr>
      <w:r w:rsidRPr="00B568CE">
        <w:rPr>
          <w:u w:val="single"/>
        </w:rPr>
        <w:t xml:space="preserve">Bilješka broj </w:t>
      </w:r>
      <w:r w:rsidR="007B0BA8">
        <w:rPr>
          <w:u w:val="single"/>
        </w:rPr>
        <w:t>2</w:t>
      </w:r>
      <w:r w:rsidR="0085013F" w:rsidRPr="00B568CE">
        <w:rPr>
          <w:u w:val="single"/>
        </w:rPr>
        <w:t>3</w:t>
      </w:r>
      <w:r w:rsidR="009D08C4">
        <w:t xml:space="preserve"> – </w:t>
      </w:r>
      <w:r w:rsidR="007B0BA8">
        <w:t xml:space="preserve">Ostali nespomenuti prihodi – 6526- u tekućem izvještajnom razdoblju ostvareni iznos je znatno veći nego u prethodnoj godini zbog toga što su učenici išli na terenske nastave i izlete što u prethodnoj godini zbog pandemije Covid 19 nije realizirano. </w:t>
      </w:r>
    </w:p>
    <w:p w14:paraId="445462F5" w14:textId="29D5A057" w:rsidR="009E5DCA" w:rsidRDefault="009D08C4" w:rsidP="003A5EBF">
      <w:pPr>
        <w:pStyle w:val="Bezproreda"/>
      </w:pPr>
      <w:r w:rsidRPr="00B568CE">
        <w:rPr>
          <w:u w:val="single"/>
        </w:rPr>
        <w:t xml:space="preserve">Bilješka broj </w:t>
      </w:r>
      <w:r w:rsidR="007B0BA8">
        <w:rPr>
          <w:u w:val="single"/>
        </w:rPr>
        <w:t>2</w:t>
      </w:r>
      <w:r w:rsidR="00D268D0" w:rsidRPr="00B568CE">
        <w:rPr>
          <w:u w:val="single"/>
        </w:rPr>
        <w:t>4</w:t>
      </w:r>
      <w:r w:rsidR="007B0BA8">
        <w:t xml:space="preserve"> – </w:t>
      </w:r>
      <w:r w:rsidR="009E5DCA">
        <w:t xml:space="preserve">Prihodi od pruženih usluga – </w:t>
      </w:r>
      <w:r w:rsidR="007B0BA8">
        <w:t xml:space="preserve">6615- </w:t>
      </w:r>
      <w:r w:rsidR="009E5DCA">
        <w:t xml:space="preserve">u </w:t>
      </w:r>
      <w:r w:rsidR="007B0BA8">
        <w:t>tekućem izvještajnom</w:t>
      </w:r>
      <w:r w:rsidR="009E5DCA">
        <w:t xml:space="preserve"> razdoblju ostvaren j</w:t>
      </w:r>
      <w:r w:rsidR="00D268D0">
        <w:t xml:space="preserve">e </w:t>
      </w:r>
      <w:r w:rsidR="007B0BA8">
        <w:t>veći iznos nego u prethodnom,</w:t>
      </w:r>
      <w:r w:rsidR="009E5DCA">
        <w:t xml:space="preserve"> što je </w:t>
      </w:r>
      <w:r w:rsidR="006F038C">
        <w:t xml:space="preserve">rezultat </w:t>
      </w:r>
      <w:r w:rsidR="007B0BA8">
        <w:t xml:space="preserve"> veće</w:t>
      </w:r>
      <w:r w:rsidR="00A7401D">
        <w:t>g iznajmljivanja</w:t>
      </w:r>
      <w:r w:rsidR="007F107F">
        <w:t xml:space="preserve"> </w:t>
      </w:r>
      <w:r w:rsidR="009E5DCA">
        <w:t>školske sportske dvorane  te učion</w:t>
      </w:r>
      <w:r w:rsidR="007F107F">
        <w:t>ica korisnicima</w:t>
      </w:r>
      <w:r w:rsidR="007B0BA8">
        <w:t>.</w:t>
      </w:r>
    </w:p>
    <w:p w14:paraId="746539AD" w14:textId="22FDFD5D" w:rsidR="00E22188" w:rsidRDefault="00DA6F99" w:rsidP="003A5EBF">
      <w:pPr>
        <w:pStyle w:val="Bezproreda"/>
      </w:pPr>
      <w:r w:rsidRPr="00B568CE">
        <w:rPr>
          <w:u w:val="single"/>
        </w:rPr>
        <w:t xml:space="preserve">Bilješka broj </w:t>
      </w:r>
      <w:r w:rsidR="007B0BA8">
        <w:rPr>
          <w:u w:val="single"/>
        </w:rPr>
        <w:t>2</w:t>
      </w:r>
      <w:r w:rsidR="00DA361F" w:rsidRPr="00B568CE">
        <w:rPr>
          <w:u w:val="single"/>
        </w:rPr>
        <w:t>5</w:t>
      </w:r>
      <w:r w:rsidR="009E5DCA">
        <w:t xml:space="preserve"> –</w:t>
      </w:r>
      <w:r w:rsidR="005C74BF">
        <w:t>Donacije od pravnih i fizičkih osoba –</w:t>
      </w:r>
      <w:r w:rsidR="00641A6E">
        <w:t xml:space="preserve"> 663</w:t>
      </w:r>
      <w:r w:rsidR="005C74BF">
        <w:t xml:space="preserve"> u tekućem</w:t>
      </w:r>
      <w:r w:rsidR="009D08C4">
        <w:t xml:space="preserve"> izvještajnom razdoblju</w:t>
      </w:r>
      <w:r w:rsidR="00E04907">
        <w:t xml:space="preserve"> su </w:t>
      </w:r>
      <w:r w:rsidR="002C5A48">
        <w:t>smanje</w:t>
      </w:r>
      <w:r w:rsidR="00D268D0">
        <w:t>n</w:t>
      </w:r>
      <w:r w:rsidR="00E04907">
        <w:t>e,</w:t>
      </w:r>
      <w:r w:rsidR="00641A6E">
        <w:t xml:space="preserve"> manje je ostvarenih tekućih donacija (prethodne godine je dobivena donacija drenažnih rešetki za učionicu na otvorenome), odnose se na dobivene donacije za nabavu sportske opreme, sportska natjecanja, donacije za nabavu opreme, donacije od Crvenog križa, dok su kapitalne donacije u tekućem izvještajnom razdoblju povećane,</w:t>
      </w:r>
      <w:r w:rsidR="00E04907">
        <w:t xml:space="preserve"> a odnose se na </w:t>
      </w:r>
      <w:r w:rsidR="002C5A48">
        <w:t>donaciju</w:t>
      </w:r>
      <w:r w:rsidR="00641A6E">
        <w:t xml:space="preserve"> </w:t>
      </w:r>
      <w:r w:rsidR="002C5A48">
        <w:t>knjiga i priručnika za školsku knjižnicu</w:t>
      </w:r>
      <w:r w:rsidR="00641A6E">
        <w:t>.</w:t>
      </w:r>
      <w:r w:rsidR="00D268D0">
        <w:t xml:space="preserve"> </w:t>
      </w:r>
    </w:p>
    <w:p w14:paraId="6A629888" w14:textId="6083AAA0" w:rsidR="00A7401D" w:rsidRDefault="00E22188" w:rsidP="003A5EBF">
      <w:pPr>
        <w:pStyle w:val="Bezproreda"/>
      </w:pPr>
      <w:r w:rsidRPr="00B568CE">
        <w:rPr>
          <w:u w:val="single"/>
        </w:rPr>
        <w:t xml:space="preserve">Bilješka broj </w:t>
      </w:r>
      <w:r w:rsidR="00641A6E">
        <w:rPr>
          <w:u w:val="single"/>
        </w:rPr>
        <w:t>2</w:t>
      </w:r>
      <w:r w:rsidR="00DA361F" w:rsidRPr="00B568CE">
        <w:rPr>
          <w:u w:val="single"/>
        </w:rPr>
        <w:t>6</w:t>
      </w:r>
      <w:r w:rsidR="00B568CE">
        <w:t xml:space="preserve"> </w:t>
      </w:r>
      <w:r>
        <w:t>-</w:t>
      </w:r>
      <w:r w:rsidR="00641A6E">
        <w:t xml:space="preserve"> </w:t>
      </w:r>
      <w:r>
        <w:t>Prihodi iz nadležnog proračuna</w:t>
      </w:r>
      <w:r w:rsidR="00641A6E">
        <w:t>-671-</w:t>
      </w:r>
      <w:r w:rsidR="005A1A7C">
        <w:t>smanje</w:t>
      </w:r>
      <w:r w:rsidR="002C5A48">
        <w:t xml:space="preserve">ni </w:t>
      </w:r>
      <w:r w:rsidR="00641A6E">
        <w:t xml:space="preserve">su </w:t>
      </w:r>
      <w:r w:rsidR="002C5A48">
        <w:t>u odnosu na prethodno razdoblje</w:t>
      </w:r>
      <w:r w:rsidR="00A7401D">
        <w:t>,</w:t>
      </w:r>
      <w:r w:rsidR="00E04907">
        <w:t xml:space="preserve"> </w:t>
      </w:r>
      <w:r w:rsidR="00EF6256">
        <w:t>ostvareno je ukupno 1.</w:t>
      </w:r>
      <w:r w:rsidR="005A1A7C">
        <w:t>544.766,83</w:t>
      </w:r>
      <w:r w:rsidR="00EF6256">
        <w:t xml:space="preserve"> kun</w:t>
      </w:r>
      <w:r w:rsidR="005A1A7C">
        <w:t>e</w:t>
      </w:r>
      <w:r w:rsidR="00EF6256">
        <w:t xml:space="preserve"> od čega iz decentraliziranih sredstava 1.</w:t>
      </w:r>
      <w:r w:rsidR="00641A6E">
        <w:t>147.602,00 kune</w:t>
      </w:r>
      <w:r w:rsidR="00EF6256">
        <w:t xml:space="preserve"> kune za financiranje materijalnih rashoda poslovanja, </w:t>
      </w:r>
      <w:r w:rsidR="005A1A7C">
        <w:t>125.335,00</w:t>
      </w:r>
      <w:r w:rsidR="00EF6256">
        <w:t xml:space="preserve"> kuna za financiranje rashoda za nabavu nefinancijske imovine i dodatna ulaganja na građevinskim objektima. </w:t>
      </w:r>
      <w:r w:rsidR="00A7401D">
        <w:t>G</w:t>
      </w:r>
      <w:r w:rsidR="00E04907">
        <w:t>rad Krapina</w:t>
      </w:r>
      <w:r w:rsidR="00A7401D">
        <w:t xml:space="preserve"> je</w:t>
      </w:r>
      <w:r>
        <w:t xml:space="preserve"> doznačio</w:t>
      </w:r>
      <w:r w:rsidR="00EF6256">
        <w:t xml:space="preserve"> povrh decentraliziranih sredstava ukupno 2</w:t>
      </w:r>
      <w:r w:rsidR="005A1A7C">
        <w:t>71.829,83</w:t>
      </w:r>
      <w:r w:rsidR="00EF6256">
        <w:t xml:space="preserve"> kun</w:t>
      </w:r>
      <w:r w:rsidR="005A1A7C">
        <w:t>e</w:t>
      </w:r>
      <w:r w:rsidR="00EF6256">
        <w:t xml:space="preserve"> od čega </w:t>
      </w:r>
      <w:r w:rsidR="005A1A7C">
        <w:t>54.354,27</w:t>
      </w:r>
      <w:r w:rsidR="00EF6256">
        <w:t xml:space="preserve"> kuna za školsku kuhinju za učenike koji ostvaruju pravo na besplatnu prehranu, </w:t>
      </w:r>
      <w:r w:rsidR="005A1A7C">
        <w:t>106.314,63</w:t>
      </w:r>
      <w:r w:rsidR="00EF6256">
        <w:t xml:space="preserve"> kun</w:t>
      </w:r>
      <w:r w:rsidR="005A1A7C">
        <w:t>e</w:t>
      </w:r>
      <w:r w:rsidR="00EF6256">
        <w:t xml:space="preserve"> za nabavu radnih bilježnica, 2</w:t>
      </w:r>
      <w:r w:rsidR="005A1A7C">
        <w:t>1.666,90 kuna</w:t>
      </w:r>
      <w:r w:rsidR="00EF6256">
        <w:t xml:space="preserve"> za školsku shemu, 3.</w:t>
      </w:r>
      <w:r w:rsidR="005A1A7C">
        <w:t>900,00</w:t>
      </w:r>
      <w:r w:rsidR="00EF6256">
        <w:t xml:space="preserve"> kuna za financiranje ugovora o djelu za e-tehničara, </w:t>
      </w:r>
      <w:r w:rsidR="005A1A7C">
        <w:t>8.000,00 kuna za energiju, 9.992,27 kuna za naknade troškova zaposlenima, 8.997,00 kuna za sufinanciranje škole plivanja te 58.604,76 kuna za izmjenu unutarnje stolarije, vrata na učionicama</w:t>
      </w:r>
      <w:r w:rsidR="00EF6256">
        <w:t xml:space="preserve"> u matičnoj školi Krapina.</w:t>
      </w:r>
      <w:r>
        <w:t xml:space="preserve"> </w:t>
      </w:r>
      <w:r w:rsidR="005A1A7C">
        <w:t>U prethodnom izvještajnom razdoblju ostvareni prihodi su bili veći zbog</w:t>
      </w:r>
      <w:r w:rsidR="00872CEB">
        <w:t xml:space="preserve"> prihoda dobivenih za radove na </w:t>
      </w:r>
      <w:r w:rsidR="005A1A7C">
        <w:t>pojačavanj</w:t>
      </w:r>
      <w:r w:rsidR="00872CEB">
        <w:t>u</w:t>
      </w:r>
      <w:r w:rsidR="005A1A7C">
        <w:t xml:space="preserve"> mehaničke stabilnosti i sanacije sportske dvorane zbog štete nastale od potresa. </w:t>
      </w:r>
    </w:p>
    <w:p w14:paraId="22ADD9F8" w14:textId="0BB14F76" w:rsidR="00E22188" w:rsidRDefault="000B6E3D" w:rsidP="003A5EBF">
      <w:pPr>
        <w:pStyle w:val="Bezproreda"/>
      </w:pPr>
      <w:r w:rsidRPr="00B568CE">
        <w:rPr>
          <w:u w:val="single"/>
        </w:rPr>
        <w:t xml:space="preserve">Bilješka broj </w:t>
      </w:r>
      <w:r w:rsidR="005A1A7C">
        <w:rPr>
          <w:u w:val="single"/>
        </w:rPr>
        <w:t>2</w:t>
      </w:r>
      <w:r w:rsidR="00DA361F" w:rsidRPr="00B568CE">
        <w:rPr>
          <w:u w:val="single"/>
        </w:rPr>
        <w:t>7</w:t>
      </w:r>
      <w:r w:rsidR="005A1A7C">
        <w:t xml:space="preserve"> – </w:t>
      </w:r>
      <w:r w:rsidR="007106C5">
        <w:t>Plaće za prekovremeni rad</w:t>
      </w:r>
      <w:r w:rsidR="009E63B8">
        <w:t xml:space="preserve"> – </w:t>
      </w:r>
      <w:r w:rsidR="005A1A7C">
        <w:t>31</w:t>
      </w:r>
      <w:r w:rsidR="007106C5">
        <w:t>13</w:t>
      </w:r>
      <w:r w:rsidR="005A1A7C">
        <w:t xml:space="preserve">- </w:t>
      </w:r>
      <w:r w:rsidR="009E63B8">
        <w:t>povećan</w:t>
      </w:r>
      <w:r w:rsidR="00037900">
        <w:t>i</w:t>
      </w:r>
      <w:r w:rsidR="009E63B8">
        <w:t xml:space="preserve"> u odnosu na prethodno razdoblje zbog  </w:t>
      </w:r>
      <w:r w:rsidR="00D659A9">
        <w:t>toga što se na raspisani natječaj za učitelja matematike nitko nije javio pa su taj posao obavljali trenutno zaposleni učitelji u prekovremenom radu</w:t>
      </w:r>
      <w:r w:rsidR="00B226BA">
        <w:t>,</w:t>
      </w:r>
      <w:r w:rsidR="00D659A9">
        <w:t xml:space="preserve"> </w:t>
      </w:r>
      <w:r w:rsidR="00CD58DF">
        <w:t>te zbog velikog broja</w:t>
      </w:r>
      <w:r w:rsidR="007106C5">
        <w:t xml:space="preserve"> zamjena učitelja zbog</w:t>
      </w:r>
      <w:r w:rsidR="00CD58DF">
        <w:t xml:space="preserve"> bolovanja</w:t>
      </w:r>
      <w:r w:rsidR="007106C5">
        <w:t>.</w:t>
      </w:r>
      <w:r w:rsidR="00D659A9" w:rsidRPr="00D659A9">
        <w:rPr>
          <w:rFonts w:cs="Calibri"/>
        </w:rPr>
        <w:t xml:space="preserve"> </w:t>
      </w:r>
    </w:p>
    <w:p w14:paraId="028FC41B" w14:textId="1E03A3B4" w:rsidR="005C3AE4" w:rsidRPr="007106C5" w:rsidRDefault="000B6E3D" w:rsidP="003A5EBF">
      <w:pPr>
        <w:pStyle w:val="Bezproreda"/>
      </w:pPr>
      <w:r w:rsidRPr="007106C5">
        <w:rPr>
          <w:u w:val="single"/>
        </w:rPr>
        <w:t xml:space="preserve">Bilješka broj </w:t>
      </w:r>
      <w:r w:rsidR="007106C5">
        <w:rPr>
          <w:u w:val="single"/>
        </w:rPr>
        <w:t>2</w:t>
      </w:r>
      <w:r w:rsidR="00DA361F" w:rsidRPr="007106C5">
        <w:rPr>
          <w:u w:val="single"/>
        </w:rPr>
        <w:t>8</w:t>
      </w:r>
      <w:r w:rsidR="009E63B8" w:rsidRPr="007106C5">
        <w:t xml:space="preserve"> – </w:t>
      </w:r>
      <w:r w:rsidR="007106C5">
        <w:t xml:space="preserve">Ostali </w:t>
      </w:r>
      <w:r w:rsidR="00037900" w:rsidRPr="007106C5">
        <w:t>rashodi</w:t>
      </w:r>
      <w:r w:rsidR="007106C5">
        <w:t xml:space="preserve"> za zaposlene</w:t>
      </w:r>
      <w:r w:rsidR="00D659A9">
        <w:t>- 312</w:t>
      </w:r>
      <w:r w:rsidR="00037900" w:rsidRPr="007106C5">
        <w:t xml:space="preserve"> – </w:t>
      </w:r>
      <w:r w:rsidR="007106C5">
        <w:t>smanjeni</w:t>
      </w:r>
      <w:r w:rsidR="00E22188" w:rsidRPr="007106C5">
        <w:t xml:space="preserve"> </w:t>
      </w:r>
      <w:r w:rsidR="00037900" w:rsidRPr="007106C5">
        <w:t>u odnosu na preth</w:t>
      </w:r>
      <w:r w:rsidR="005E5FB2" w:rsidRPr="007106C5">
        <w:t>odno izvještajno razdoblj</w:t>
      </w:r>
      <w:r w:rsidR="005F6295" w:rsidRPr="007106C5">
        <w:t>e</w:t>
      </w:r>
      <w:r w:rsidR="007106C5">
        <w:t xml:space="preserve"> iz razloga što je u prethodnom razdoblju isplaćivano više otpremnina</w:t>
      </w:r>
      <w:r w:rsidR="00D659A9">
        <w:t xml:space="preserve"> i</w:t>
      </w:r>
      <w:r w:rsidR="007106C5">
        <w:t xml:space="preserve"> više jubilarnih n</w:t>
      </w:r>
      <w:r w:rsidR="00B226BA">
        <w:t>agrada nego u tekućem razdoblju.</w:t>
      </w:r>
    </w:p>
    <w:p w14:paraId="62F82C90" w14:textId="7AEBBC3A" w:rsidR="007106C5" w:rsidRDefault="00FB5181" w:rsidP="008E7FA0">
      <w:pPr>
        <w:pStyle w:val="Bezproreda"/>
      </w:pPr>
      <w:r w:rsidRPr="00B568CE">
        <w:rPr>
          <w:u w:val="single"/>
        </w:rPr>
        <w:lastRenderedPageBreak/>
        <w:t xml:space="preserve">Bilješka broj </w:t>
      </w:r>
      <w:r w:rsidR="007106C5">
        <w:rPr>
          <w:u w:val="single"/>
        </w:rPr>
        <w:t>2</w:t>
      </w:r>
      <w:r w:rsidR="00DA361F" w:rsidRPr="00B568CE">
        <w:rPr>
          <w:u w:val="single"/>
        </w:rPr>
        <w:t>9</w:t>
      </w:r>
      <w:r w:rsidR="003F3251">
        <w:t xml:space="preserve"> –</w:t>
      </w:r>
      <w:r w:rsidR="007106C5">
        <w:t xml:space="preserve"> Doprinosi za obvezno osiguranje u slučaju nezaposlenosti-</w:t>
      </w:r>
      <w:r w:rsidR="00D659A9">
        <w:t>3133-</w:t>
      </w:r>
      <w:r w:rsidR="007106C5">
        <w:t xml:space="preserve"> povećani u tekućem izvještajnom razdoblju zbog isplata plaća po sudskim presudama zbog neisplate povećanja plaće za 6%</w:t>
      </w:r>
      <w:r w:rsidR="008E7FA0">
        <w:t xml:space="preserve"> </w:t>
      </w:r>
      <w:r w:rsidR="00E4017B">
        <w:t xml:space="preserve"> u razdoblju od 12/2015. do 01/2017.godine</w:t>
      </w:r>
    </w:p>
    <w:p w14:paraId="5E62E9BA" w14:textId="5FC96684" w:rsidR="00CA680F" w:rsidRDefault="0038554A" w:rsidP="00CA680F">
      <w:pPr>
        <w:pStyle w:val="Bezproreda"/>
      </w:pPr>
      <w:r w:rsidRPr="00CA680F">
        <w:rPr>
          <w:u w:val="single"/>
        </w:rPr>
        <w:t>Bilješka broj 30</w:t>
      </w:r>
      <w:r>
        <w:t xml:space="preserve">-Službena putovanja-3211-znatno su povećana u tekućem izvještajnom razdoblju iz razloga što su </w:t>
      </w:r>
      <w:r w:rsidR="00B22044">
        <w:t>ukinute epidemiološke mjere pa su organizirane terenske nastave i izleti te maturalni izleti za učenike sedmih i osmih razreda što dovodi do velikog broja isplaćenih dnevnica učiteljima/pratiteljima</w:t>
      </w:r>
      <w:r w:rsidR="00CA680F">
        <w:t>.</w:t>
      </w:r>
    </w:p>
    <w:p w14:paraId="23046C0A" w14:textId="73DFF042" w:rsidR="00CA680F" w:rsidRDefault="00CA680F" w:rsidP="00CA680F">
      <w:pPr>
        <w:pStyle w:val="Bezproreda"/>
      </w:pPr>
      <w:r w:rsidRPr="00CA680F">
        <w:rPr>
          <w:u w:val="single"/>
        </w:rPr>
        <w:t>Bilješka broj 31</w:t>
      </w:r>
      <w:r>
        <w:t>-Naknade za prijevoz, za rad na terenu i odvojeni život-3212-</w:t>
      </w:r>
      <w:r w:rsidR="00B22044">
        <w:t xml:space="preserve"> povećane su</w:t>
      </w:r>
      <w:r>
        <w:t xml:space="preserve"> u tekućem izvještajnom razdoblju zbog povećanja</w:t>
      </w:r>
      <w:r w:rsidR="00B22044">
        <w:t xml:space="preserve"> cijena mjesečnih autobusnih karata te povećanje iznosa za prijevoz osobnim automobilom s 1,00 kn/km na 1,35 kn/km.</w:t>
      </w:r>
    </w:p>
    <w:p w14:paraId="55241AC4" w14:textId="25CBC5FE" w:rsidR="00B22044" w:rsidRDefault="00CA680F" w:rsidP="00CA680F">
      <w:pPr>
        <w:pStyle w:val="Bezproreda"/>
      </w:pPr>
      <w:r w:rsidRPr="00C96033">
        <w:rPr>
          <w:u w:val="single"/>
        </w:rPr>
        <w:t>Bilješka broj 32</w:t>
      </w:r>
      <w:r>
        <w:t>-S</w:t>
      </w:r>
      <w:r w:rsidR="00B22044">
        <w:t>tručno usavršavanje</w:t>
      </w:r>
      <w:r>
        <w:t xml:space="preserve"> zaposlenika-3213- iznos</w:t>
      </w:r>
      <w:r w:rsidR="00B22044">
        <w:t xml:space="preserve"> je smanjen u odnosu na prošlogodišnje razdoblje-nisu se toliko pratili webinari te se nisu plaćale kotizacije za sudjelovanje na istima. </w:t>
      </w:r>
    </w:p>
    <w:p w14:paraId="15776BC1" w14:textId="70BFD2F3" w:rsidR="00CA680F" w:rsidRDefault="00CA680F" w:rsidP="00CA680F">
      <w:pPr>
        <w:pStyle w:val="Bezproreda"/>
      </w:pPr>
      <w:r w:rsidRPr="00E4017B">
        <w:rPr>
          <w:u w:val="single"/>
        </w:rPr>
        <w:t>Bilješka broj 33</w:t>
      </w:r>
      <w:r>
        <w:t>-Ostale naknade troškova zaposlenima- 3214- u tekućem izvještajnom razdoblju iznos je manji zbog manje ostvarenih loko vožnji.</w:t>
      </w:r>
    </w:p>
    <w:p w14:paraId="0A0CA25A" w14:textId="01903ADB" w:rsidR="00CA680F" w:rsidRDefault="00CA680F" w:rsidP="00CA680F">
      <w:pPr>
        <w:pStyle w:val="Bezproreda"/>
      </w:pPr>
      <w:r w:rsidRPr="00C96033">
        <w:rPr>
          <w:u w:val="single"/>
        </w:rPr>
        <w:t>Bilješka broj 34</w:t>
      </w:r>
      <w:r>
        <w:t>-Materijal i sirovine-3222-u tekućem izvještajnom razdoblju iznos je povećan</w:t>
      </w:r>
      <w:r w:rsidR="00C97975" w:rsidRPr="00C97975">
        <w:t xml:space="preserve"> </w:t>
      </w:r>
      <w:r w:rsidR="00C97975">
        <w:t>zbog povećanja cijena prehrambenih artikala i zbog toga što nije bilo samoizolacija razrednih odjela kao prethodne godine pa se i više utrošilo.</w:t>
      </w:r>
    </w:p>
    <w:p w14:paraId="152E8727" w14:textId="22293201" w:rsidR="00C97975" w:rsidRDefault="00C97975" w:rsidP="00CA680F">
      <w:pPr>
        <w:pStyle w:val="Bezproreda"/>
      </w:pPr>
      <w:r w:rsidRPr="00C96033">
        <w:rPr>
          <w:u w:val="single"/>
        </w:rPr>
        <w:t>Bilješka broj 35</w:t>
      </w:r>
      <w:r>
        <w:t>-Energija-3223-iznos je u tekućem izvještajnom razdoblju znatno veći zbog povećanja cijena svih energenata koje škola koristi a to su</w:t>
      </w:r>
      <w:r w:rsidR="00C96033">
        <w:t xml:space="preserve"> za grijanje</w:t>
      </w:r>
      <w:r>
        <w:t xml:space="preserve"> lož ulje u matičnoj školi u Krapini, plin u područnim školama</w:t>
      </w:r>
      <w:r w:rsidR="00C96033">
        <w:t xml:space="preserve"> i</w:t>
      </w:r>
      <w:r>
        <w:t xml:space="preserve"> električna energija.</w:t>
      </w:r>
    </w:p>
    <w:p w14:paraId="21701393" w14:textId="03B2A437" w:rsidR="00C96033" w:rsidRDefault="00C96033" w:rsidP="00CA680F">
      <w:pPr>
        <w:pStyle w:val="Bezproreda"/>
      </w:pPr>
      <w:r w:rsidRPr="00D0201E">
        <w:rPr>
          <w:u w:val="single"/>
        </w:rPr>
        <w:t>Bilješka broj 36</w:t>
      </w:r>
      <w:r>
        <w:t>-Materijal i dijelovi za tekuće i investicijsko održavanje-3224- znatno je manji iznos u tekućem izvještajnom razdoblju, u prethodnoj godine se puno vi</w:t>
      </w:r>
      <w:r w:rsidR="00E4017B">
        <w:t>še utrošilo zbog saniranja šteta</w:t>
      </w:r>
      <w:r>
        <w:t xml:space="preserve"> nastal</w:t>
      </w:r>
      <w:r w:rsidR="00E4017B">
        <w:t>ih</w:t>
      </w:r>
      <w:r>
        <w:t xml:space="preserve"> od potresa.</w:t>
      </w:r>
    </w:p>
    <w:p w14:paraId="7B9FFD79" w14:textId="29DC11AF" w:rsidR="00C96033" w:rsidRDefault="00C96033" w:rsidP="00CA680F">
      <w:pPr>
        <w:pStyle w:val="Bezproreda"/>
      </w:pPr>
      <w:r w:rsidRPr="00D0201E">
        <w:rPr>
          <w:u w:val="single"/>
        </w:rPr>
        <w:t>Bilješka broj 37</w:t>
      </w:r>
      <w:r>
        <w:t>-Službena, radna i zaštitna odjeća i obuća-3227- u tekućem izvještajnom razdoblju</w:t>
      </w:r>
      <w:r w:rsidR="008A1483">
        <w:t xml:space="preserve"> iznos je manji jer</w:t>
      </w:r>
      <w:r>
        <w:t xml:space="preserve"> nije bilo potrebno nabavljati radn</w:t>
      </w:r>
      <w:r w:rsidR="003014D0">
        <w:t xml:space="preserve">u odjeću i obuću za spremačice, domara i </w:t>
      </w:r>
      <w:r>
        <w:t xml:space="preserve"> kuharice iz razloga što se sve potrebno nabavilo u prethodnom izvještajnom razdoblju.</w:t>
      </w:r>
    </w:p>
    <w:p w14:paraId="50F217E8" w14:textId="6B323E1E" w:rsidR="00C96033" w:rsidRDefault="00C96033" w:rsidP="00CA680F">
      <w:pPr>
        <w:pStyle w:val="Bezproreda"/>
      </w:pPr>
      <w:r w:rsidRPr="00D0201E">
        <w:rPr>
          <w:u w:val="single"/>
        </w:rPr>
        <w:t>Bilješka broj 38</w:t>
      </w:r>
      <w:r>
        <w:t>-Usluge telefona, pošte i prijevoza-3231 u tekućem izvještajnom razdoblju iznos je povećan iz razloga što su se učenici prevozili na terenske nastave, a u prethodnom izvještajnom razdoblju nisu bile organizirane zbog epidemioloških mjera.</w:t>
      </w:r>
    </w:p>
    <w:p w14:paraId="682291C7" w14:textId="5C4B61FA" w:rsidR="00D0201E" w:rsidRDefault="00C96033" w:rsidP="00D0201E">
      <w:pPr>
        <w:pStyle w:val="Bezproreda"/>
      </w:pPr>
      <w:r w:rsidRPr="00CA62F0">
        <w:rPr>
          <w:u w:val="single"/>
        </w:rPr>
        <w:t>Bilješka broj 39</w:t>
      </w:r>
      <w:r>
        <w:t xml:space="preserve">-Usluge tekućeg i investicijskog održavanja-3232-u tekućem izvještajnom razdoblju iznos je manji iz razloga što se sanacija zgrada </w:t>
      </w:r>
      <w:r w:rsidR="005439F9">
        <w:t>zbog šteta nastalih od potresa provodila u prethodnom izvještajnom razdoblju</w:t>
      </w:r>
      <w:r w:rsidR="00D0201E">
        <w:t>, a u tekućem izvještajnom razdoblju provodili su se nužni popravci; sanirana je šteta nastala uslijed začepljenja odvodnih cijevi u matičnoj školi u Krapini, pokrečene su učionice, izvršen je popravak postrojenja za centralno grijanje, popravak perilice suđa, servisirani su klima uređaj</w:t>
      </w:r>
      <w:r w:rsidR="003014D0">
        <w:t>, održavana je informatička oprema</w:t>
      </w:r>
      <w:r w:rsidR="00D0201E">
        <w:t xml:space="preserve"> te ostali uređaji i oprema u školi.</w:t>
      </w:r>
    </w:p>
    <w:p w14:paraId="3A1F4C30" w14:textId="5ED27F25" w:rsidR="00D0201E" w:rsidRDefault="00D0201E" w:rsidP="00D0201E">
      <w:pPr>
        <w:pStyle w:val="Bezproreda"/>
      </w:pPr>
      <w:r w:rsidRPr="00BB5B75">
        <w:rPr>
          <w:u w:val="single"/>
        </w:rPr>
        <w:t>Bilješka broj 40</w:t>
      </w:r>
      <w:r>
        <w:t>-Usluge promidžbe i informiranja-3233- u tekućem izvještajnom razdoblju nije ostvareno</w:t>
      </w:r>
      <w:r w:rsidR="003014D0">
        <w:t>, u prethodnom izvještajnom razdoblju su bile nabavljene zaštitne maske s otisnutim nazivom škole koje su bile podijeljene povodom obilježavanja 110. godišnjice škole.</w:t>
      </w:r>
    </w:p>
    <w:p w14:paraId="4C648E63" w14:textId="31842416" w:rsidR="00A72479" w:rsidRDefault="00A72479" w:rsidP="00D0201E">
      <w:pPr>
        <w:pStyle w:val="Bezproreda"/>
      </w:pPr>
      <w:r w:rsidRPr="00BB5B75">
        <w:rPr>
          <w:u w:val="single"/>
        </w:rPr>
        <w:t>Bilješka broj 41</w:t>
      </w:r>
      <w:r>
        <w:t>-Komunalne usluge-3234-u tekućem izvještajnom razdoblju su smanjene- u prethodnom su se provodile dezinfekcije učionica i drugih prostora od strane ovlaštenih pravnih osoba.</w:t>
      </w:r>
    </w:p>
    <w:p w14:paraId="35693B2E" w14:textId="5344F7B5" w:rsidR="00A72479" w:rsidRDefault="00A72479" w:rsidP="00D0201E">
      <w:pPr>
        <w:pStyle w:val="Bezproreda"/>
      </w:pPr>
      <w:r w:rsidRPr="00BB5B75">
        <w:rPr>
          <w:u w:val="single"/>
        </w:rPr>
        <w:t>Bilješka broj 42</w:t>
      </w:r>
      <w:r w:rsidR="00B229D9">
        <w:t>-Z</w:t>
      </w:r>
      <w:r>
        <w:t>dravstvene i veterinarske usluge-3236-  u tekućem izvještajnom razdoblju iznos je povećan zbog toga što je novim kolektivnim ugovorom povećan iznos za obavljanje sistematskog pregleda za radnike škole s 500,00 kuna na 1.200,00 kuna.</w:t>
      </w:r>
    </w:p>
    <w:p w14:paraId="271BF599" w14:textId="31D4340F" w:rsidR="00A72479" w:rsidRDefault="00A72479" w:rsidP="00D0201E">
      <w:pPr>
        <w:pStyle w:val="Bezproreda"/>
      </w:pPr>
      <w:r w:rsidRPr="00BB5B75">
        <w:rPr>
          <w:u w:val="single"/>
        </w:rPr>
        <w:t>Bilješka broj 43</w:t>
      </w:r>
      <w:r>
        <w:t>-Intelektualne i osobne usluge-</w:t>
      </w:r>
      <w:r w:rsidR="006067EB">
        <w:t>u</w:t>
      </w:r>
      <w:r w:rsidR="0011285B">
        <w:t xml:space="preserve"> prethodnom izvještajnom razdoblju je plaćen pregled građevine i izrada stručnog mišljenja o stanju nosive konstrukcije nakon potresa 28.</w:t>
      </w:r>
      <w:r w:rsidR="006067EB">
        <w:t xml:space="preserve"> </w:t>
      </w:r>
      <w:r w:rsidR="0011285B">
        <w:t>i 29.12.2020.</w:t>
      </w:r>
      <w:r w:rsidR="006067EB">
        <w:t xml:space="preserve"> </w:t>
      </w:r>
      <w:r w:rsidR="0011285B">
        <w:t>god</w:t>
      </w:r>
      <w:r w:rsidR="006067EB">
        <w:t xml:space="preserve">ine, a </w:t>
      </w:r>
      <w:r w:rsidR="00CA62F0">
        <w:t xml:space="preserve">u </w:t>
      </w:r>
      <w:r w:rsidR="006067EB">
        <w:t>tekućem izvještajnom razdoblju iznos je manji i odnosi se na isplatu ugovora o djelu za e-tehničara, te ugovore o djelu i autorske honorare za održana predavanja na županijskim stručnim aktivima geografije.</w:t>
      </w:r>
    </w:p>
    <w:p w14:paraId="316FBA1D" w14:textId="155AB59B" w:rsidR="0011285B" w:rsidRDefault="0011285B" w:rsidP="00D0201E">
      <w:pPr>
        <w:pStyle w:val="Bezproreda"/>
      </w:pPr>
      <w:r w:rsidRPr="00BB5B75">
        <w:rPr>
          <w:u w:val="single"/>
        </w:rPr>
        <w:t>Bilješka broj 44</w:t>
      </w:r>
      <w:r>
        <w:t>-Računalne usluge-3238-u tekućem izvještajnom razdoblju su povećane zbog promjene programa za računovodstveno poslovanje.</w:t>
      </w:r>
    </w:p>
    <w:p w14:paraId="53F5C5C9" w14:textId="6AC004BE" w:rsidR="0011285B" w:rsidRDefault="0011285B" w:rsidP="00D0201E">
      <w:pPr>
        <w:pStyle w:val="Bezproreda"/>
      </w:pPr>
      <w:r w:rsidRPr="00BB5B75">
        <w:rPr>
          <w:u w:val="single"/>
        </w:rPr>
        <w:lastRenderedPageBreak/>
        <w:t>Bilješka broj 45</w:t>
      </w:r>
      <w:r>
        <w:t>-Ostale usluge-3239- u tekućem izvještajnom razdoblju povećane su zbog organiziranih izleta i terenskih nastava učenika koje su se provodile nakon ukidanja epidemioloških mjera.</w:t>
      </w:r>
    </w:p>
    <w:p w14:paraId="6382E49B" w14:textId="0E0095BC" w:rsidR="0011285B" w:rsidRDefault="0011285B" w:rsidP="00D0201E">
      <w:pPr>
        <w:pStyle w:val="Bezproreda"/>
      </w:pPr>
      <w:r w:rsidRPr="00BB5B75">
        <w:rPr>
          <w:u w:val="single"/>
        </w:rPr>
        <w:t>Bilješka broj 46</w:t>
      </w:r>
      <w:r>
        <w:t xml:space="preserve">-Reprezentacija-3293- u tekućem izvještajnom razdoblju iznos je povećan iz razloga što je škola bila domaćin u natjecanju iz Lidrana </w:t>
      </w:r>
      <w:r w:rsidR="00BB5B75">
        <w:t>te se je pripremao obrok za sve sudionike tog natjecanja</w:t>
      </w:r>
      <w:r w:rsidR="004F05DA">
        <w:t>.</w:t>
      </w:r>
    </w:p>
    <w:p w14:paraId="7800A7FE" w14:textId="178BDAC0" w:rsidR="00BB5B75" w:rsidRDefault="00BB5B75" w:rsidP="00D0201E">
      <w:pPr>
        <w:pStyle w:val="Bezproreda"/>
      </w:pPr>
      <w:r w:rsidRPr="00BB5B75">
        <w:rPr>
          <w:u w:val="single"/>
        </w:rPr>
        <w:t>Bilješka broj 47</w:t>
      </w:r>
      <w:r>
        <w:t>-Članarine i norme-3294-iznos je u tekućem izvještajnom razdoblju veći zbog povećanja cijena članarina HZOŠ.</w:t>
      </w:r>
    </w:p>
    <w:p w14:paraId="6B53AC1F" w14:textId="38A234AB" w:rsidR="00BB5B75" w:rsidRDefault="00BB5B75" w:rsidP="00D0201E">
      <w:pPr>
        <w:pStyle w:val="Bezproreda"/>
      </w:pPr>
      <w:r w:rsidRPr="00BB5B75">
        <w:rPr>
          <w:u w:val="single"/>
        </w:rPr>
        <w:t>Bilješka broj 48</w:t>
      </w:r>
      <w:r>
        <w:t>-Pristojbe i naknade-3295-u tekućem izvještajnom razdoblju iznos je veći zbog toga što je povećan iznos naknade zbog nezapošljavanja invalida te zbog provjere diploma i svjedodžbi novih radnika.</w:t>
      </w:r>
    </w:p>
    <w:p w14:paraId="41CB635B" w14:textId="43A75A2F" w:rsidR="00BB5B75" w:rsidRDefault="00BB5B75" w:rsidP="00D0201E">
      <w:pPr>
        <w:pStyle w:val="Bezproreda"/>
      </w:pPr>
      <w:r w:rsidRPr="00664224">
        <w:rPr>
          <w:u w:val="single"/>
        </w:rPr>
        <w:t>Bilješka broj 49</w:t>
      </w:r>
      <w:r>
        <w:t>-Troškovi sudskih postupaka-3296-u tekućem izvještajnom razdoblju troškovi su povećani zbog tužbi radnika za isplatu razlike plaće od 6 %</w:t>
      </w:r>
      <w:r w:rsidR="004F05DA">
        <w:t>.</w:t>
      </w:r>
    </w:p>
    <w:p w14:paraId="13E7BC9C" w14:textId="3C75E7E3" w:rsidR="00BB5B75" w:rsidRDefault="00BB5B75" w:rsidP="00D0201E">
      <w:pPr>
        <w:pStyle w:val="Bezproreda"/>
      </w:pPr>
      <w:r w:rsidRPr="00664224">
        <w:rPr>
          <w:u w:val="single"/>
        </w:rPr>
        <w:t>Bilješka broj 50</w:t>
      </w:r>
      <w:r>
        <w:t>-Ostali nespomenuti rashodi poslovanja-3299-u prethodnom izvještajnom razdoblju iznos je bio veći zbog toga što je škola sudjelovala u pratećim mjerama školske sheme za što je dobila sredstva od Ministarstva poljoprivrede čime su se nabavile sadnice i ljekovito bilje za školski vrt.</w:t>
      </w:r>
    </w:p>
    <w:p w14:paraId="124DCB08" w14:textId="593A0A03" w:rsidR="00BB5B75" w:rsidRDefault="00BB5B75" w:rsidP="00D0201E">
      <w:pPr>
        <w:pStyle w:val="Bezproreda"/>
      </w:pPr>
      <w:r w:rsidRPr="00B229D9">
        <w:rPr>
          <w:u w:val="single"/>
        </w:rPr>
        <w:t>Bilješka broj 51</w:t>
      </w:r>
      <w:r>
        <w:t>-</w:t>
      </w:r>
      <w:r w:rsidR="00F9482E">
        <w:t>Bankarske usluge i usluge platnog prometa-3431- u tekućem izvještajnom razdoblju iznos je veći zbog povećanja naknada za platni promet od strane poslovne banke.</w:t>
      </w:r>
    </w:p>
    <w:p w14:paraId="1709A70A" w14:textId="49982060" w:rsidR="00F9482E" w:rsidRDefault="00F9482E" w:rsidP="00D0201E">
      <w:pPr>
        <w:pStyle w:val="Bezproreda"/>
      </w:pPr>
      <w:r w:rsidRPr="00B229D9">
        <w:rPr>
          <w:u w:val="single"/>
        </w:rPr>
        <w:t>Bilješka broj 52</w:t>
      </w:r>
      <w:r>
        <w:t>-Zatezne kamate-3433-U tekućem izvještajnom razdoblju iznos je veći zbog obračuna i isplata zateznih kamata za poreze, doprinose, plaće i troškove sudskih postupaka po pravomoćnim sudskim presudama zbog neisplate uvećanja plaće od 6%</w:t>
      </w:r>
      <w:r w:rsidR="00CA62F0">
        <w:t xml:space="preserve"> za razdoblje 12/2015.-01/2017.</w:t>
      </w:r>
    </w:p>
    <w:p w14:paraId="552E3EBA" w14:textId="5BAE1BB2" w:rsidR="00061DDB" w:rsidRDefault="00061DDB" w:rsidP="00D0201E">
      <w:pPr>
        <w:pStyle w:val="Bezproreda"/>
      </w:pPr>
      <w:r w:rsidRPr="00061DDB">
        <w:rPr>
          <w:u w:val="single"/>
        </w:rPr>
        <w:t>Bilješka broj 53</w:t>
      </w:r>
      <w:r>
        <w:t>-Naknade građanima i kućanstvima u naravi-3722-u tekućem izvještajnom razdoblju iznos je veći zbog</w:t>
      </w:r>
      <w:r w:rsidR="002B3D28">
        <w:t xml:space="preserve"> većih cijena radnih bilježnica i</w:t>
      </w:r>
      <w:r>
        <w:t xml:space="preserve"> nabav</w:t>
      </w:r>
      <w:r w:rsidR="002B3D28">
        <w:t>e većeg broja radnih udžbenika te</w:t>
      </w:r>
      <w:r>
        <w:t xml:space="preserve"> zbog Uredbe Vlade o izmjeni i dopuni Zakona o udžbenicima kojom se odobrava nakladnicima i izdavačima povećanje cijena udžbenika u odnosu na prethodno razdoblje.</w:t>
      </w:r>
    </w:p>
    <w:p w14:paraId="2240FFB6" w14:textId="66F91AEE" w:rsidR="00061DDB" w:rsidRDefault="00325340" w:rsidP="00D0201E">
      <w:pPr>
        <w:pStyle w:val="Bezproreda"/>
      </w:pPr>
      <w:r w:rsidRPr="00C91E1F">
        <w:rPr>
          <w:u w:val="single"/>
        </w:rPr>
        <w:t>Bilješka broj 54</w:t>
      </w:r>
      <w:r>
        <w:t>-Stambeni objekti-7211-Iznos u prethodnom izvještajnom razdoblju je veći zbog uplaćenih zaostalih rata.</w:t>
      </w:r>
    </w:p>
    <w:p w14:paraId="7D8AF9BE" w14:textId="13BF7B99" w:rsidR="00325340" w:rsidRDefault="00325340" w:rsidP="00D0201E">
      <w:pPr>
        <w:pStyle w:val="Bezproreda"/>
      </w:pPr>
      <w:r w:rsidRPr="00C91E1F">
        <w:rPr>
          <w:u w:val="single"/>
        </w:rPr>
        <w:t>Bilješka broj 55</w:t>
      </w:r>
      <w:r>
        <w:t>-Uredska oprema i namještaj-4221-u prethodnom izvještajnom razdoblju iznos je veći jer su nabavljena potrebna stolna i prijenosna računala te namještaj za učionice, u tekućem izvještajnom razdoblju nabavljeni su interaktivni ekrani za dvije učionice te stolci za učionice.</w:t>
      </w:r>
    </w:p>
    <w:p w14:paraId="7B00F32F" w14:textId="5D8D204A" w:rsidR="00325340" w:rsidRDefault="00325340" w:rsidP="00D0201E">
      <w:pPr>
        <w:pStyle w:val="Bezproreda"/>
      </w:pPr>
      <w:r w:rsidRPr="00C91E1F">
        <w:rPr>
          <w:u w:val="single"/>
        </w:rPr>
        <w:t>Bilješka broj 56</w:t>
      </w:r>
      <w:r>
        <w:t>-Sportska i glazbena oprema-4226- u prethodnom izvještajnom razdoblju nabavljeni su golovi za vanjsko igralište u PŠ Donja Šemnica, u tekućem izvještajnom razdoblju nije ostvareno.</w:t>
      </w:r>
    </w:p>
    <w:p w14:paraId="0A1CA57B" w14:textId="3D14A7AA" w:rsidR="00325340" w:rsidRDefault="00325340" w:rsidP="00D0201E">
      <w:pPr>
        <w:pStyle w:val="Bezproreda"/>
      </w:pPr>
      <w:r w:rsidRPr="00C91E1F">
        <w:rPr>
          <w:u w:val="single"/>
        </w:rPr>
        <w:t>Bilješka broj 57</w:t>
      </w:r>
      <w:r>
        <w:t>-Uređaji, strojevi i oprema za ostale namjene-4227-u prethodnom izvještajn</w:t>
      </w:r>
      <w:r w:rsidR="00F83AF3">
        <w:t>o</w:t>
      </w:r>
      <w:r>
        <w:t>m razdoblju iznos je veći jer su nabavljene dokument kamere te automatika za poteznu lesu kod matične škole u Krapini, a u tekućem izvještajnom razdoblju su nabavljeni multifunkcionalni pisač/skener/kopirka, dva komada.</w:t>
      </w:r>
    </w:p>
    <w:p w14:paraId="335B4B12" w14:textId="3AB8EA4F" w:rsidR="00325340" w:rsidRDefault="00325340" w:rsidP="00D0201E">
      <w:pPr>
        <w:pStyle w:val="Bezproreda"/>
      </w:pPr>
      <w:r w:rsidRPr="00C91E1F">
        <w:rPr>
          <w:u w:val="single"/>
        </w:rPr>
        <w:t>Bilješka broj 58</w:t>
      </w:r>
      <w:r>
        <w:t xml:space="preserve">-Knjige-4241- u tekućem izvještajnom razdoblju iznos je manji iz razloga što </w:t>
      </w:r>
      <w:r w:rsidR="00F83AF3">
        <w:t>su troškovi nabave udžbenika manji u odnosu na prošlu godinu jer se koriste udžbenici nabavljeni tijekom proteklih godina.</w:t>
      </w:r>
    </w:p>
    <w:p w14:paraId="6DA7CA5B" w14:textId="7D4FA4FF" w:rsidR="00C91E1F" w:rsidRDefault="00F83AF3" w:rsidP="00A32086">
      <w:pPr>
        <w:pStyle w:val="Bezproreda"/>
      </w:pPr>
      <w:r w:rsidRPr="00C91E1F">
        <w:rPr>
          <w:u w:val="single"/>
        </w:rPr>
        <w:t>Bilješka broj 59</w:t>
      </w:r>
      <w:r>
        <w:t xml:space="preserve">-Dodatna ulaganja na građevinskim objektima-451- u </w:t>
      </w:r>
      <w:r w:rsidR="00A32086">
        <w:t xml:space="preserve">prethodnom izvještajnom razdoblju ostvareno 491.553 kn. Troškovi su se odnosili na dodatna ulaganja na građevinskim objektima-povećanje mehaničke stabilnosti i sanaciju sportske dvorane te prilaznih staza kod matične škole Krapina zbog štete nastale uslijed potresa. Najveći dio, 281.000 kn financiran je iz decentraliziranih sredstava dok je 99.653 kune financirano sredstvima Grada Krapine. Također, škola je prijavom na natječaj Ministarstva kulture dobila 100.000 kn za izmjenu unutarnje stolarije te su izmijenjena vrata u prizemlju zgrade matične škole u Krapini. Kako bi moglo biti izmijenjeno svih osam vrata na učionicama i tajništvu u prizemlju zgrade, dobili smo 10.900 kn dodatnih sredstava od strane osnivača, Grada Krapine. U tekućem izvještajnom razdoblju iznos je znatno manji, ostvareno je 143.939,76 kuna i odnosi se na uvođenje tople vode u sanitarne prostorije i ispred blagovaonice u matičnoj školi u Krapini 48.089,76 kuna, dok je za izmjenu unutarnje stolarije-vrata na učionicama utrošeno 95.850,00 kuna i to iz decentraliziranih sredstava 37.245,24 kune dok je preostalih 58.604,76 kuna podmireno iz dodatnih sredstava od strane osnivača, Grada Krapine. </w:t>
      </w:r>
      <w:r w:rsidR="00C91E1F">
        <w:t xml:space="preserve">Iako se škola </w:t>
      </w:r>
      <w:r w:rsidR="00C91E1F">
        <w:lastRenderedPageBreak/>
        <w:t>ponovno prijavila na natječaj Ministarstva kulture za dodjelu sredstava za izmjenu unutarnje stolarije, ove godine sredstva nam nisu dodijeljena.</w:t>
      </w:r>
    </w:p>
    <w:p w14:paraId="439E1180" w14:textId="0F5DD72A" w:rsidR="008331A8" w:rsidRDefault="008331A8" w:rsidP="008331A8">
      <w:pPr>
        <w:pStyle w:val="Bezproreda"/>
      </w:pPr>
      <w:r w:rsidRPr="008331A8">
        <w:rPr>
          <w:u w:val="single"/>
        </w:rPr>
        <w:t>Bilješka broj 60</w:t>
      </w:r>
      <w:r>
        <w:t>-Rashodi budućih razdoblja-19-odnosi se na troškove plaće</w:t>
      </w:r>
      <w:r w:rsidR="001259AC">
        <w:t xml:space="preserve"> i naknada</w:t>
      </w:r>
      <w:r>
        <w:t xml:space="preserve"> za 12/202</w:t>
      </w:r>
      <w:r w:rsidR="00CF7120">
        <w:t>2</w:t>
      </w:r>
      <w:r>
        <w:t>. koji su isplaćeni u siječnju 2023., u tekućem izvještajnom razdoblju iznos je veći zbog povećanja osnov</w:t>
      </w:r>
      <w:r w:rsidR="001259AC">
        <w:t>i</w:t>
      </w:r>
      <w:r>
        <w:t>ce za obračun plaće.</w:t>
      </w:r>
    </w:p>
    <w:p w14:paraId="51DA883F" w14:textId="2EA954F8" w:rsidR="00C91E1F" w:rsidRDefault="00C91E1F" w:rsidP="008331A8">
      <w:pPr>
        <w:pStyle w:val="Bezproreda"/>
      </w:pPr>
      <w:r>
        <w:t>Promjene na ostalim pozicijama Obrasca PR-RAS su neznatne i nemaju značajnijeg  utjecaja na poslovanje.</w:t>
      </w:r>
    </w:p>
    <w:p w14:paraId="312D6FF5" w14:textId="67B5CDA7" w:rsidR="00BF7668" w:rsidRDefault="00BF7668" w:rsidP="008331A8">
      <w:pPr>
        <w:pStyle w:val="Bezproreda"/>
      </w:pPr>
    </w:p>
    <w:p w14:paraId="449F6412" w14:textId="645B68B3" w:rsidR="00BF7668" w:rsidRDefault="00BF7668" w:rsidP="008331A8">
      <w:pPr>
        <w:pStyle w:val="Bezproreda"/>
      </w:pPr>
      <w:r w:rsidRPr="006864FA">
        <w:rPr>
          <w:u w:val="single"/>
        </w:rPr>
        <w:t>Bilješka broj 61</w:t>
      </w:r>
      <w:r>
        <w:t>-</w:t>
      </w:r>
      <w:r w:rsidR="00C05783">
        <w:t xml:space="preserve"> Rezultat poslovanja usporedno prikazan na </w:t>
      </w:r>
      <w:r w:rsidR="001259AC">
        <w:t>O</w:t>
      </w:r>
      <w:r w:rsidR="00C05783">
        <w:t>brascu Bilance i PR-RAS</w:t>
      </w:r>
      <w:r w:rsidR="001259AC">
        <w:t>-a</w:t>
      </w:r>
      <w:r w:rsidR="00C05783">
        <w:t xml:space="preserve"> </w:t>
      </w:r>
    </w:p>
    <w:p w14:paraId="35E9E85E" w14:textId="77777777" w:rsidR="006864FA" w:rsidRDefault="006864FA" w:rsidP="008331A8">
      <w:pPr>
        <w:pStyle w:val="Bezproreda"/>
      </w:pPr>
    </w:p>
    <w:p w14:paraId="101B4880" w14:textId="137B7B30" w:rsidR="00834E51" w:rsidRPr="00D21137" w:rsidRDefault="00834E51" w:rsidP="00834E51">
      <w:r w:rsidRPr="00D21137">
        <w:t>Prilikom utvrđivanja rezultata poslovanja sučeljavaju se  razred 6 i razred 3, te razred 7 i razred 4, pa</w:t>
      </w:r>
      <w:r w:rsidR="00C05783">
        <w:t xml:space="preserve"> je</w:t>
      </w:r>
      <w:r w:rsidRPr="00D21137">
        <w:t xml:space="preserve"> tako</w:t>
      </w:r>
      <w:r w:rsidR="00C05783">
        <w:t xml:space="preserve"> na obrascu PR-RAS prikazano slijedeće:</w:t>
      </w:r>
    </w:p>
    <w:p w14:paraId="3566EEF9" w14:textId="77777777" w:rsidR="00834E51" w:rsidRPr="00F979CE" w:rsidRDefault="00834E51" w:rsidP="00F979CE">
      <w:pPr>
        <w:pStyle w:val="Bezproreda"/>
        <w:rPr>
          <w:u w:val="single"/>
        </w:rPr>
      </w:pPr>
      <w:r w:rsidRPr="00F979CE">
        <w:rPr>
          <w:u w:val="single"/>
        </w:rPr>
        <w:t>6 (prihodi)</w:t>
      </w:r>
      <w:r w:rsidRPr="00F979CE">
        <w:rPr>
          <w:u w:val="single"/>
        </w:rPr>
        <w:tab/>
        <w:t>-</w:t>
      </w:r>
      <w:r w:rsidRPr="00F979CE">
        <w:rPr>
          <w:u w:val="single"/>
        </w:rPr>
        <w:tab/>
        <w:t>3 (rashodi)</w:t>
      </w:r>
    </w:p>
    <w:p w14:paraId="69FDC456" w14:textId="5CD17A4D" w:rsidR="00834E51" w:rsidRPr="004F05DA" w:rsidRDefault="00834E51" w:rsidP="00834E51">
      <w:r>
        <w:t>12.648.612,59</w:t>
      </w:r>
      <w:r>
        <w:tab/>
        <w:t>-    12.334.831,03</w:t>
      </w:r>
      <w:r w:rsidRPr="00D21137">
        <w:tab/>
        <w:t>=</w:t>
      </w:r>
      <w:r>
        <w:t>313.781,56</w:t>
      </w:r>
      <w:r w:rsidRPr="00D21137">
        <w:t xml:space="preserve"> (višak prihoda poslovanja)</w:t>
      </w:r>
    </w:p>
    <w:p w14:paraId="47620D2E" w14:textId="77777777" w:rsidR="00834E51" w:rsidRPr="00F979CE" w:rsidRDefault="00834E51" w:rsidP="00F979CE">
      <w:pPr>
        <w:pStyle w:val="Bezproreda"/>
        <w:rPr>
          <w:u w:val="single"/>
        </w:rPr>
      </w:pPr>
      <w:r w:rsidRPr="00F979CE">
        <w:rPr>
          <w:u w:val="single"/>
        </w:rPr>
        <w:t>7 (prihodi)</w:t>
      </w:r>
      <w:r w:rsidRPr="00F979CE">
        <w:rPr>
          <w:u w:val="single"/>
        </w:rPr>
        <w:tab/>
        <w:t>-</w:t>
      </w:r>
      <w:r w:rsidRPr="00F979CE">
        <w:rPr>
          <w:u w:val="single"/>
        </w:rPr>
        <w:tab/>
        <w:t>4 (rashodi)</w:t>
      </w:r>
    </w:p>
    <w:p w14:paraId="17A073CE" w14:textId="2D20BE32" w:rsidR="00834E51" w:rsidRDefault="00834E51" w:rsidP="004F05DA">
      <w:pPr>
        <w:pStyle w:val="Bezproreda"/>
      </w:pPr>
      <w:r w:rsidRPr="00D21137">
        <w:t xml:space="preserve">       </w:t>
      </w:r>
      <w:r>
        <w:t xml:space="preserve"> 1.289,40</w:t>
      </w:r>
      <w:r>
        <w:tab/>
        <w:t>-         217.552,15</w:t>
      </w:r>
      <w:r w:rsidRPr="00D21137">
        <w:tab/>
      </w:r>
      <w:r w:rsidRPr="002402CD">
        <w:rPr>
          <w:u w:val="single"/>
        </w:rPr>
        <w:t>=-216.262,75 (</w:t>
      </w:r>
      <w:r w:rsidRPr="002402CD">
        <w:rPr>
          <w:iCs/>
          <w:u w:val="single"/>
        </w:rPr>
        <w:t>manjak prihoda od nefinancijske imovine)</w:t>
      </w:r>
    </w:p>
    <w:p w14:paraId="0187745D" w14:textId="47FB2038" w:rsidR="00834E51" w:rsidRDefault="00834E51" w:rsidP="004F05DA">
      <w:pPr>
        <w:pStyle w:val="Bezproreda"/>
      </w:pPr>
      <w:r>
        <w:tab/>
      </w:r>
      <w:r>
        <w:tab/>
      </w:r>
      <w:r>
        <w:tab/>
      </w:r>
      <w:r>
        <w:tab/>
      </w:r>
      <w:r>
        <w:tab/>
        <w:t>=</w:t>
      </w:r>
      <w:r w:rsidR="00C05783">
        <w:t xml:space="preserve">  </w:t>
      </w:r>
      <w:r>
        <w:t xml:space="preserve"> 97.518,81</w:t>
      </w:r>
    </w:p>
    <w:p w14:paraId="4487D50C" w14:textId="7EA071BE" w:rsidR="00834E51" w:rsidRPr="00D21137" w:rsidRDefault="00C05783" w:rsidP="004F05DA">
      <w:pPr>
        <w:pStyle w:val="Bezproreda"/>
      </w:pPr>
      <w:r>
        <w:tab/>
      </w:r>
      <w:r>
        <w:tab/>
      </w:r>
      <w:r>
        <w:tab/>
      </w:r>
      <w:r>
        <w:tab/>
      </w:r>
      <w:r>
        <w:tab/>
        <w:t xml:space="preserve">   </w:t>
      </w:r>
      <w:r w:rsidR="00834E51">
        <w:t xml:space="preserve">     - 570,84 (manja</w:t>
      </w:r>
      <w:r w:rsidR="00834E51" w:rsidRPr="00D21137">
        <w:t>k prihoda iz 20</w:t>
      </w:r>
      <w:r w:rsidR="00834E51">
        <w:t>21</w:t>
      </w:r>
      <w:r w:rsidR="00834E51" w:rsidRPr="00D21137">
        <w:t>.</w:t>
      </w:r>
      <w:r>
        <w:t>-</w:t>
      </w:r>
      <w:r w:rsidR="00834E51" w:rsidRPr="00D21137">
        <w:t>)</w:t>
      </w:r>
      <w:r w:rsidR="00834E51">
        <w:t>*</w:t>
      </w:r>
    </w:p>
    <w:p w14:paraId="2A050F38" w14:textId="4CA875DB" w:rsidR="00834E51" w:rsidRPr="006864FA" w:rsidRDefault="00834E51" w:rsidP="00834E51">
      <w:pPr>
        <w:rPr>
          <w:b/>
        </w:rPr>
      </w:pPr>
      <w:r>
        <w:tab/>
      </w:r>
      <w:r>
        <w:tab/>
      </w:r>
      <w:r>
        <w:tab/>
      </w:r>
      <w:r>
        <w:tab/>
      </w:r>
      <w:r>
        <w:tab/>
      </w:r>
      <w:r w:rsidR="00C05783" w:rsidRPr="006864FA">
        <w:rPr>
          <w:b/>
        </w:rPr>
        <w:t>=</w:t>
      </w:r>
      <w:r w:rsidRPr="006864FA">
        <w:rPr>
          <w:b/>
        </w:rPr>
        <w:t>+ 96.947,97 (višak prihoda 2022.</w:t>
      </w:r>
      <w:r w:rsidR="00C05783" w:rsidRPr="006864FA">
        <w:rPr>
          <w:b/>
        </w:rPr>
        <w:t>-PR-RAS pozicija X006</w:t>
      </w:r>
      <w:r w:rsidRPr="006864FA">
        <w:rPr>
          <w:b/>
        </w:rPr>
        <w:t>)</w:t>
      </w:r>
    </w:p>
    <w:p w14:paraId="31EA0691" w14:textId="026ADFA8" w:rsidR="00834E51" w:rsidRPr="00D21137" w:rsidRDefault="00834E51" w:rsidP="00834E51">
      <w:r w:rsidRPr="00D21137">
        <w:t xml:space="preserve">Sukladno odredbama </w:t>
      </w:r>
      <w:r>
        <w:t xml:space="preserve">čl.82. </w:t>
      </w:r>
      <w:r w:rsidRPr="00D21137">
        <w:t>Pravilnika o proračunskom računovodstvu i računskom planu rezultat se obavezno korigi</w:t>
      </w:r>
      <w:r>
        <w:t>ra bez suglasnosti čelnika ili školskog odbora</w:t>
      </w:r>
      <w:r w:rsidRPr="00D21137">
        <w:t xml:space="preserve"> sa 31.12.20</w:t>
      </w:r>
      <w:r>
        <w:t>22</w:t>
      </w:r>
      <w:r w:rsidRPr="00D21137">
        <w:t>. god. za iznose evidentirane na računima 63121, 63122, 63221,63241,</w:t>
      </w:r>
      <w:r>
        <w:t xml:space="preserve"> 6332, </w:t>
      </w:r>
      <w:r w:rsidRPr="00D21137">
        <w:t xml:space="preserve">6342, 6352, </w:t>
      </w:r>
      <w:r>
        <w:t>6362, 6382, 6392, 6394, 6632,</w:t>
      </w:r>
      <w:r w:rsidRPr="00D21137">
        <w:t xml:space="preserve"> 67121 </w:t>
      </w:r>
      <w:r>
        <w:t xml:space="preserve"> budući da su sredstva za nabavu nefinancijske imovine evidentirana na razredu 6 te shodno utvrđivanju rezultata utjecala na ostvarivanje rezultata od redovnog poslovanja. Druga obvezna korekcija je ako su sredstva od prodaje dugotrajne nefinancijske imovine (stanovi) na razredu 7 korištena za financiranje rashoda za tekuće i investicijsko održavanje (3224 i 3232),</w:t>
      </w:r>
      <w:r w:rsidRPr="00D21137">
        <w:t xml:space="preserve"> pa </w:t>
      </w:r>
      <w:r w:rsidR="00C05783">
        <w:t>je tako na Obrascu Bilanca prikazano slijedeće:</w:t>
      </w:r>
    </w:p>
    <w:p w14:paraId="7A0AA7D7" w14:textId="7BE8C0BB" w:rsidR="00834E51" w:rsidRDefault="00834E51" w:rsidP="00BF7668">
      <w:pPr>
        <w:pStyle w:val="Bezproreda"/>
        <w:jc w:val="both"/>
      </w:pPr>
      <w:r>
        <w:tab/>
      </w:r>
      <w:r w:rsidRPr="00D21137">
        <w:tab/>
      </w:r>
      <w:r>
        <w:t>313.781,56</w:t>
      </w:r>
      <w:r w:rsidRPr="00D21137">
        <w:t xml:space="preserve">  višak prihoda poslovanja</w:t>
      </w:r>
    </w:p>
    <w:p w14:paraId="05D5CD2C" w14:textId="1564E025" w:rsidR="00834E51" w:rsidRDefault="004F05DA" w:rsidP="00BF7668">
      <w:pPr>
        <w:pStyle w:val="Bezproreda"/>
        <w:jc w:val="both"/>
      </w:pPr>
      <w:r>
        <w:tab/>
        <w:t xml:space="preserve">         -</w:t>
      </w:r>
      <w:r w:rsidR="00834E51">
        <w:t xml:space="preserve">  </w:t>
      </w:r>
      <w:r>
        <w:t xml:space="preserve">    </w:t>
      </w:r>
      <w:r w:rsidR="00834E51">
        <w:t xml:space="preserve">22.652,57  konto 6362-kapitalne pomoći iz državnog proračuna </w:t>
      </w:r>
    </w:p>
    <w:p w14:paraId="762CB59F" w14:textId="37F6C3F4" w:rsidR="00834E51" w:rsidRPr="00D21137" w:rsidRDefault="00834E51" w:rsidP="00BF7668">
      <w:pPr>
        <w:pStyle w:val="Bezproreda"/>
        <w:jc w:val="both"/>
      </w:pPr>
      <w:r>
        <w:tab/>
        <w:t xml:space="preserve">         </w:t>
      </w:r>
      <w:r w:rsidRPr="00D21137">
        <w:t xml:space="preserve">-     </w:t>
      </w:r>
      <w:r>
        <w:t xml:space="preserve">  </w:t>
      </w:r>
      <w:r w:rsidR="00E22A1A">
        <w:t xml:space="preserve"> </w:t>
      </w:r>
      <w:r>
        <w:t>3.973,06</w:t>
      </w:r>
      <w:r w:rsidRPr="00D21137">
        <w:t xml:space="preserve">  konto 6632-kapitalne donacije</w:t>
      </w:r>
      <w:r>
        <w:t xml:space="preserve"> (knjige za šk.knjižnicu)</w:t>
      </w:r>
    </w:p>
    <w:p w14:paraId="2C408E26" w14:textId="3C9BD382" w:rsidR="00834E51" w:rsidRPr="00160437" w:rsidRDefault="00834E51" w:rsidP="00BF7668">
      <w:pPr>
        <w:pStyle w:val="Bezproreda"/>
        <w:jc w:val="both"/>
      </w:pPr>
      <w:r w:rsidRPr="00D21137">
        <w:tab/>
      </w:r>
      <w:r w:rsidRPr="00160437">
        <w:t xml:space="preserve">         -   </w:t>
      </w:r>
      <w:r>
        <w:t>183.939,76</w:t>
      </w:r>
      <w:r w:rsidRPr="00160437">
        <w:t xml:space="preserve">  konto 67121- prihodi za fin.rashoda za nabavu nef.imovine</w:t>
      </w:r>
    </w:p>
    <w:p w14:paraId="439A052C" w14:textId="12528E9F" w:rsidR="00834E51" w:rsidRPr="004F05DA" w:rsidRDefault="00E22A1A" w:rsidP="00BF7668">
      <w:pPr>
        <w:pStyle w:val="Bezproreda"/>
        <w:jc w:val="both"/>
        <w:rPr>
          <w:u w:val="single"/>
        </w:rPr>
      </w:pPr>
      <w:r w:rsidRPr="00E22A1A">
        <w:t xml:space="preserve">          </w:t>
      </w:r>
      <w:r>
        <w:t xml:space="preserve">             </w:t>
      </w:r>
      <w:r w:rsidRPr="00E22A1A">
        <w:rPr>
          <w:u w:val="single"/>
        </w:rPr>
        <w:t>+</w:t>
      </w:r>
      <w:r w:rsidRPr="00E22A1A">
        <w:rPr>
          <w:u w:val="single"/>
        </w:rPr>
        <w:tab/>
        <w:t xml:space="preserve">   </w:t>
      </w:r>
      <w:r w:rsidR="00834E51" w:rsidRPr="00E22A1A">
        <w:rPr>
          <w:u w:val="single"/>
        </w:rPr>
        <w:t>1.289,40  konto 7211-prihodi od prodaje</w:t>
      </w:r>
      <w:r w:rsidR="00834E51" w:rsidRPr="004F05DA">
        <w:rPr>
          <w:u w:val="single"/>
        </w:rPr>
        <w:t xml:space="preserve"> stanova               </w:t>
      </w:r>
    </w:p>
    <w:p w14:paraId="06C539C3" w14:textId="3011D507" w:rsidR="00834E51" w:rsidRDefault="004F05DA" w:rsidP="00BF7668">
      <w:pPr>
        <w:pStyle w:val="Bezproreda"/>
        <w:jc w:val="both"/>
      </w:pPr>
      <w:r>
        <w:t xml:space="preserve">               </w:t>
      </w:r>
      <w:r w:rsidR="00834E51">
        <w:t xml:space="preserve">        </w:t>
      </w:r>
      <w:r w:rsidR="00834E51" w:rsidRPr="00E22A1A">
        <w:t>=   104.505,57   višak prihoda poslovanja</w:t>
      </w:r>
      <w:r w:rsidR="00E22A1A">
        <w:t xml:space="preserve"> 2022.</w:t>
      </w:r>
    </w:p>
    <w:p w14:paraId="34B23EEF" w14:textId="4FA9219B" w:rsidR="00E22A1A" w:rsidRDefault="00E22A1A" w:rsidP="00BF7668">
      <w:pPr>
        <w:pStyle w:val="Bezproreda"/>
        <w:numPr>
          <w:ilvl w:val="0"/>
          <w:numId w:val="14"/>
        </w:numPr>
        <w:jc w:val="both"/>
        <w:rPr>
          <w:u w:val="single"/>
        </w:rPr>
      </w:pPr>
      <w:r w:rsidRPr="00E22A1A">
        <w:rPr>
          <w:u w:val="single"/>
        </w:rPr>
        <w:t xml:space="preserve">     470,52   manjak prihoda iz prethodne godine</w:t>
      </w:r>
    </w:p>
    <w:p w14:paraId="267B2468" w14:textId="1527E893" w:rsidR="00E22A1A" w:rsidRPr="006864FA" w:rsidRDefault="00E22A1A" w:rsidP="00BF7668">
      <w:pPr>
        <w:pStyle w:val="Bezproreda"/>
        <w:ind w:left="1155"/>
        <w:jc w:val="both"/>
        <w:rPr>
          <w:b/>
        </w:rPr>
      </w:pPr>
      <w:r w:rsidRPr="006864FA">
        <w:rPr>
          <w:b/>
        </w:rPr>
        <w:t xml:space="preserve">=  104.035,05 </w:t>
      </w:r>
      <w:r w:rsidR="006864FA" w:rsidRPr="006864FA">
        <w:rPr>
          <w:b/>
        </w:rPr>
        <w:t xml:space="preserve"> (Bilanca-pozicija 92211)</w:t>
      </w:r>
    </w:p>
    <w:p w14:paraId="3B548028" w14:textId="77777777" w:rsidR="00E22A1A" w:rsidRPr="00E22A1A" w:rsidRDefault="00E22A1A" w:rsidP="00BF7668">
      <w:pPr>
        <w:pStyle w:val="Bezproreda"/>
        <w:jc w:val="both"/>
      </w:pPr>
    </w:p>
    <w:p w14:paraId="2430BEC6" w14:textId="477B8E71" w:rsidR="00834E51" w:rsidRDefault="004F05DA" w:rsidP="00BF7668">
      <w:pPr>
        <w:pStyle w:val="Bezproreda"/>
        <w:jc w:val="both"/>
      </w:pPr>
      <w:r>
        <w:t xml:space="preserve">                          -</w:t>
      </w:r>
      <w:r w:rsidR="00834E51">
        <w:t>216.262,75</w:t>
      </w:r>
      <w:r w:rsidR="00834E51" w:rsidRPr="00D21137">
        <w:t xml:space="preserve">  manjak prihoda od nefinancijske imovine</w:t>
      </w:r>
    </w:p>
    <w:p w14:paraId="7D13792F" w14:textId="549CB0A0" w:rsidR="00834E51" w:rsidRPr="00D21137" w:rsidRDefault="00834E51" w:rsidP="00BF7668">
      <w:pPr>
        <w:pStyle w:val="Bezproreda"/>
        <w:jc w:val="both"/>
      </w:pPr>
      <w:r>
        <w:t xml:space="preserve">        </w:t>
      </w:r>
      <w:r w:rsidR="004F05DA">
        <w:t xml:space="preserve">                </w:t>
      </w:r>
      <w:r>
        <w:t xml:space="preserve">  +  22.652,57  konto 6362</w:t>
      </w:r>
    </w:p>
    <w:p w14:paraId="6F1CF64F" w14:textId="5F8394DF" w:rsidR="00834E51" w:rsidRPr="00D21137" w:rsidRDefault="00834E51" w:rsidP="00BF7668">
      <w:pPr>
        <w:pStyle w:val="Bezproreda"/>
        <w:jc w:val="both"/>
      </w:pPr>
      <w:r w:rsidRPr="00D21137">
        <w:t xml:space="preserve">        </w:t>
      </w:r>
      <w:r w:rsidR="004F05DA">
        <w:t xml:space="preserve">                </w:t>
      </w:r>
      <w:r w:rsidRPr="00D21137">
        <w:t xml:space="preserve">  +  </w:t>
      </w:r>
      <w:r>
        <w:t xml:space="preserve">  3.973,06</w:t>
      </w:r>
      <w:r w:rsidRPr="00D21137">
        <w:t xml:space="preserve">  konto 6632</w:t>
      </w:r>
    </w:p>
    <w:p w14:paraId="452226D1" w14:textId="0545EB71" w:rsidR="00834E51" w:rsidRDefault="00834E51" w:rsidP="00BF7668">
      <w:pPr>
        <w:pStyle w:val="Bezproreda"/>
        <w:jc w:val="both"/>
      </w:pPr>
      <w:r w:rsidRPr="00D21137">
        <w:t xml:space="preserve">        </w:t>
      </w:r>
      <w:r w:rsidR="004F05DA">
        <w:t xml:space="preserve">                </w:t>
      </w:r>
      <w:r w:rsidRPr="00D21137">
        <w:t xml:space="preserve">  </w:t>
      </w:r>
      <w:r w:rsidRPr="00160437">
        <w:t>+</w:t>
      </w:r>
      <w:r>
        <w:t>183.939,76</w:t>
      </w:r>
      <w:r w:rsidRPr="00160437">
        <w:t xml:space="preserve">  konto 67121</w:t>
      </w:r>
    </w:p>
    <w:p w14:paraId="4A37EBFA" w14:textId="31B058CF" w:rsidR="00834E51" w:rsidRPr="004F05DA" w:rsidRDefault="00A440CC" w:rsidP="00BF7668">
      <w:pPr>
        <w:pStyle w:val="Bezproreda"/>
        <w:ind w:left="360"/>
        <w:jc w:val="both"/>
        <w:rPr>
          <w:u w:val="single"/>
        </w:rPr>
      </w:pPr>
      <w:r>
        <w:t xml:space="preserve">                       </w:t>
      </w:r>
      <w:r w:rsidR="004F05DA" w:rsidRPr="004F05DA">
        <w:rPr>
          <w:u w:val="single"/>
        </w:rPr>
        <w:t xml:space="preserve"> -</w:t>
      </w:r>
      <w:r w:rsidR="00834E51" w:rsidRPr="004F05DA">
        <w:rPr>
          <w:u w:val="single"/>
        </w:rPr>
        <w:t>1.289,40  konto 7211</w:t>
      </w:r>
    </w:p>
    <w:p w14:paraId="5E64BDAB" w14:textId="0A2D3ACA" w:rsidR="00834E51" w:rsidRDefault="00834E51" w:rsidP="00BF7668">
      <w:pPr>
        <w:pStyle w:val="Bezproreda"/>
        <w:jc w:val="both"/>
      </w:pPr>
      <w:r w:rsidRPr="00D21137">
        <w:t xml:space="preserve">       </w:t>
      </w:r>
      <w:r w:rsidR="004F05DA">
        <w:t xml:space="preserve">                 </w:t>
      </w:r>
      <w:r>
        <w:t xml:space="preserve">   </w:t>
      </w:r>
      <w:r w:rsidR="006864FA">
        <w:t xml:space="preserve">=   </w:t>
      </w:r>
      <w:r>
        <w:t>6.986,76</w:t>
      </w:r>
      <w:r w:rsidRPr="00D21137">
        <w:t xml:space="preserve">  manjak prihoda od nefinancijske imovine</w:t>
      </w:r>
    </w:p>
    <w:p w14:paraId="72E0505F" w14:textId="7D8684B4" w:rsidR="00E22A1A" w:rsidRDefault="00A440CC" w:rsidP="00BF7668">
      <w:pPr>
        <w:pStyle w:val="Bezproreda"/>
        <w:jc w:val="both"/>
        <w:rPr>
          <w:u w:val="single"/>
        </w:rPr>
      </w:pPr>
      <w:r>
        <w:t xml:space="preserve">                             </w:t>
      </w:r>
      <w:r>
        <w:rPr>
          <w:u w:val="single"/>
        </w:rPr>
        <w:t>+</w:t>
      </w:r>
      <w:r w:rsidR="00E22A1A" w:rsidRPr="00E22A1A">
        <w:rPr>
          <w:u w:val="single"/>
        </w:rPr>
        <w:t xml:space="preserve">     100,32  manjak prihoda od nefinancijske imovine iz prethodne godine</w:t>
      </w:r>
    </w:p>
    <w:p w14:paraId="11BB17CA" w14:textId="14F78D9D" w:rsidR="00E22A1A" w:rsidRPr="006864FA" w:rsidRDefault="00A440CC" w:rsidP="00BF7668">
      <w:pPr>
        <w:pStyle w:val="Bezproreda"/>
        <w:ind w:left="1515"/>
        <w:jc w:val="both"/>
        <w:rPr>
          <w:b/>
        </w:rPr>
      </w:pPr>
      <w:r w:rsidRPr="006864FA">
        <w:rPr>
          <w:b/>
        </w:rPr>
        <w:t xml:space="preserve">= -7.087,08 </w:t>
      </w:r>
      <w:r w:rsidR="006864FA" w:rsidRPr="006864FA">
        <w:rPr>
          <w:b/>
        </w:rPr>
        <w:t>(Bilanca-pozicija 92222)</w:t>
      </w:r>
    </w:p>
    <w:p w14:paraId="72EDD808" w14:textId="26184F4D" w:rsidR="00A440CC" w:rsidRPr="00A440CC" w:rsidRDefault="00A440CC" w:rsidP="00A440CC">
      <w:pPr>
        <w:pStyle w:val="Bezproreda"/>
      </w:pPr>
      <w:r>
        <w:t>_____________________________________________________________________</w:t>
      </w:r>
      <w:r w:rsidR="003043F5">
        <w:t>_____</w:t>
      </w:r>
      <w:r>
        <w:t>________</w:t>
      </w:r>
    </w:p>
    <w:p w14:paraId="67AE4E2E" w14:textId="77777777" w:rsidR="00A440CC" w:rsidRPr="003043F5" w:rsidRDefault="00A440CC" w:rsidP="00A440CC">
      <w:pPr>
        <w:rPr>
          <w:b/>
          <w:sz w:val="16"/>
          <w:szCs w:val="16"/>
        </w:rPr>
      </w:pPr>
      <w:r w:rsidRPr="003043F5">
        <w:rPr>
          <w:sz w:val="16"/>
          <w:szCs w:val="16"/>
        </w:rPr>
        <w:t>*Preneseni manjak prihoda iz 2021. godine iznosio je 100,32 kuna, ali je zbog neiskorištenih, unaprijed primljenih sredstava za provođenje školske sheme izvršen povrat u gradski proračun, te on sada iznosi 570,84 kune.</w:t>
      </w:r>
    </w:p>
    <w:p w14:paraId="704C8088" w14:textId="77777777" w:rsidR="0054307A" w:rsidRDefault="0054307A" w:rsidP="0054307A">
      <w:pPr>
        <w:pStyle w:val="Bezproreda"/>
      </w:pPr>
      <w:r>
        <w:lastRenderedPageBreak/>
        <w:t>Prikaz rezultata prema izvorima financiranja:</w:t>
      </w:r>
    </w:p>
    <w:p w14:paraId="41EBE37B" w14:textId="77777777" w:rsidR="0054307A" w:rsidRDefault="0054307A" w:rsidP="0054307A">
      <w:pPr>
        <w:pStyle w:val="Bezproreda"/>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1084"/>
        <w:gridCol w:w="967"/>
        <w:gridCol w:w="984"/>
        <w:gridCol w:w="1148"/>
        <w:gridCol w:w="865"/>
        <w:gridCol w:w="1041"/>
        <w:gridCol w:w="1120"/>
        <w:gridCol w:w="1276"/>
      </w:tblGrid>
      <w:tr w:rsidR="0054307A" w14:paraId="1A2D98FA" w14:textId="77777777" w:rsidTr="0054307A">
        <w:trPr>
          <w:trHeight w:val="555"/>
        </w:trPr>
        <w:tc>
          <w:tcPr>
            <w:tcW w:w="1121" w:type="dxa"/>
            <w:vMerge w:val="restart"/>
            <w:tcBorders>
              <w:tl2br w:val="single" w:sz="4" w:space="0" w:color="auto"/>
            </w:tcBorders>
            <w:shd w:val="clear" w:color="auto" w:fill="auto"/>
          </w:tcPr>
          <w:p w14:paraId="1182CC1D" w14:textId="77777777" w:rsidR="0054307A" w:rsidRPr="0049544D" w:rsidRDefault="0054307A" w:rsidP="003C7EB4">
            <w:pPr>
              <w:pStyle w:val="Bezproreda"/>
              <w:jc w:val="center"/>
              <w:rPr>
                <w:sz w:val="18"/>
                <w:szCs w:val="18"/>
              </w:rPr>
            </w:pPr>
            <w:r w:rsidRPr="0049544D">
              <w:rPr>
                <w:sz w:val="18"/>
                <w:szCs w:val="18"/>
              </w:rPr>
              <w:t xml:space="preserve">Izvor    prihoda i </w:t>
            </w:r>
          </w:p>
          <w:p w14:paraId="61DD339F" w14:textId="77777777" w:rsidR="0054307A" w:rsidRPr="0049544D" w:rsidRDefault="0054307A" w:rsidP="003C7EB4">
            <w:pPr>
              <w:pStyle w:val="Bezproreda"/>
              <w:jc w:val="center"/>
              <w:rPr>
                <w:sz w:val="18"/>
                <w:szCs w:val="18"/>
              </w:rPr>
            </w:pPr>
            <w:r w:rsidRPr="0049544D">
              <w:rPr>
                <w:sz w:val="18"/>
                <w:szCs w:val="18"/>
              </w:rPr>
              <w:t xml:space="preserve"> primitaka</w:t>
            </w:r>
          </w:p>
          <w:p w14:paraId="7E1258B6" w14:textId="77777777" w:rsidR="0054307A" w:rsidRPr="00696AE3" w:rsidRDefault="0054307A" w:rsidP="003C7EB4">
            <w:pPr>
              <w:pStyle w:val="Bezproreda"/>
              <w:jc w:val="center"/>
            </w:pPr>
          </w:p>
          <w:p w14:paraId="20E24B49" w14:textId="77777777" w:rsidR="0054307A" w:rsidRPr="00696AE3" w:rsidRDefault="0054307A" w:rsidP="003C7EB4">
            <w:pPr>
              <w:pStyle w:val="Bezproreda"/>
              <w:jc w:val="center"/>
            </w:pPr>
          </w:p>
          <w:p w14:paraId="246EEB17" w14:textId="77777777" w:rsidR="0054307A" w:rsidRPr="00696AE3" w:rsidRDefault="0054307A" w:rsidP="003C7EB4">
            <w:pPr>
              <w:pStyle w:val="Bezproreda"/>
              <w:jc w:val="center"/>
            </w:pPr>
          </w:p>
          <w:p w14:paraId="4E3D9457" w14:textId="77777777" w:rsidR="0054307A" w:rsidRPr="00696AE3" w:rsidRDefault="0054307A" w:rsidP="003C7EB4">
            <w:pPr>
              <w:pStyle w:val="Bezproreda"/>
              <w:jc w:val="center"/>
            </w:pPr>
          </w:p>
          <w:p w14:paraId="2B70B648" w14:textId="77777777" w:rsidR="0054307A" w:rsidRPr="00696AE3" w:rsidRDefault="0054307A" w:rsidP="003C7EB4">
            <w:pPr>
              <w:pStyle w:val="Bezproreda"/>
              <w:jc w:val="center"/>
            </w:pPr>
          </w:p>
          <w:p w14:paraId="1E0DB87B" w14:textId="77777777" w:rsidR="0054307A" w:rsidRPr="0049544D" w:rsidRDefault="0054307A" w:rsidP="003C7EB4">
            <w:pPr>
              <w:pStyle w:val="Bezproreda"/>
              <w:jc w:val="center"/>
              <w:rPr>
                <w:sz w:val="18"/>
                <w:szCs w:val="18"/>
              </w:rPr>
            </w:pPr>
            <w:r w:rsidRPr="0049544D">
              <w:rPr>
                <w:sz w:val="18"/>
                <w:szCs w:val="18"/>
              </w:rPr>
              <w:t>Račun</w:t>
            </w:r>
          </w:p>
        </w:tc>
        <w:tc>
          <w:tcPr>
            <w:tcW w:w="8485" w:type="dxa"/>
            <w:gridSpan w:val="8"/>
            <w:shd w:val="clear" w:color="auto" w:fill="auto"/>
          </w:tcPr>
          <w:p w14:paraId="0F6B15BC" w14:textId="77777777" w:rsidR="0054307A" w:rsidRDefault="0054307A" w:rsidP="003C7EB4">
            <w:pPr>
              <w:jc w:val="center"/>
            </w:pPr>
            <w:r>
              <w:t>2022. godina</w:t>
            </w:r>
          </w:p>
        </w:tc>
      </w:tr>
      <w:tr w:rsidR="0054307A" w14:paraId="50AEE0D8" w14:textId="77777777" w:rsidTr="0054307A">
        <w:trPr>
          <w:trHeight w:val="1590"/>
        </w:trPr>
        <w:tc>
          <w:tcPr>
            <w:tcW w:w="1121" w:type="dxa"/>
            <w:vMerge/>
            <w:tcBorders>
              <w:tl2br w:val="single" w:sz="4" w:space="0" w:color="auto"/>
            </w:tcBorders>
            <w:shd w:val="clear" w:color="auto" w:fill="auto"/>
          </w:tcPr>
          <w:p w14:paraId="625273D4" w14:textId="77777777" w:rsidR="0054307A" w:rsidRDefault="0054307A" w:rsidP="003C7EB4">
            <w:pPr>
              <w:pStyle w:val="Bezproreda"/>
            </w:pPr>
          </w:p>
        </w:tc>
        <w:tc>
          <w:tcPr>
            <w:tcW w:w="1084" w:type="dxa"/>
            <w:shd w:val="clear" w:color="auto" w:fill="auto"/>
          </w:tcPr>
          <w:p w14:paraId="10327106" w14:textId="77777777" w:rsidR="0054307A" w:rsidRDefault="0054307A" w:rsidP="003C7EB4">
            <w:pPr>
              <w:pStyle w:val="Bezproreda"/>
              <w:jc w:val="center"/>
              <w:rPr>
                <w:rFonts w:cs="Calibri"/>
                <w:sz w:val="18"/>
                <w:szCs w:val="18"/>
              </w:rPr>
            </w:pPr>
            <w:r>
              <w:rPr>
                <w:rFonts w:cs="Calibri"/>
                <w:sz w:val="18"/>
                <w:szCs w:val="18"/>
              </w:rPr>
              <w:t>Opći prihodi i primici</w:t>
            </w:r>
          </w:p>
        </w:tc>
        <w:tc>
          <w:tcPr>
            <w:tcW w:w="967" w:type="dxa"/>
            <w:shd w:val="clear" w:color="auto" w:fill="auto"/>
          </w:tcPr>
          <w:p w14:paraId="7A26A0F5" w14:textId="77777777" w:rsidR="0054307A" w:rsidRDefault="0054307A" w:rsidP="003C7EB4">
            <w:pPr>
              <w:pStyle w:val="Bezproreda"/>
              <w:jc w:val="center"/>
              <w:rPr>
                <w:rFonts w:cs="Calibri"/>
                <w:sz w:val="18"/>
                <w:szCs w:val="18"/>
              </w:rPr>
            </w:pPr>
            <w:r>
              <w:rPr>
                <w:rFonts w:cs="Calibri"/>
                <w:sz w:val="18"/>
                <w:szCs w:val="18"/>
              </w:rPr>
              <w:t>Vlastiti prihodi</w:t>
            </w:r>
          </w:p>
        </w:tc>
        <w:tc>
          <w:tcPr>
            <w:tcW w:w="984" w:type="dxa"/>
            <w:shd w:val="clear" w:color="auto" w:fill="auto"/>
          </w:tcPr>
          <w:p w14:paraId="36F9D688" w14:textId="77777777" w:rsidR="0054307A" w:rsidRDefault="0054307A" w:rsidP="003C7EB4">
            <w:pPr>
              <w:pStyle w:val="Bezproreda"/>
              <w:jc w:val="center"/>
              <w:rPr>
                <w:rFonts w:cs="Calibri"/>
                <w:sz w:val="18"/>
                <w:szCs w:val="18"/>
              </w:rPr>
            </w:pPr>
            <w:r>
              <w:rPr>
                <w:rFonts w:cs="Calibri"/>
                <w:sz w:val="18"/>
                <w:szCs w:val="18"/>
              </w:rPr>
              <w:t>Prihodi za posebne namjene</w:t>
            </w:r>
          </w:p>
        </w:tc>
        <w:tc>
          <w:tcPr>
            <w:tcW w:w="1148" w:type="dxa"/>
            <w:shd w:val="clear" w:color="auto" w:fill="auto"/>
          </w:tcPr>
          <w:p w14:paraId="29A7FF3E" w14:textId="77777777" w:rsidR="0054307A" w:rsidRDefault="0054307A" w:rsidP="003C7EB4">
            <w:pPr>
              <w:pStyle w:val="Bezproreda"/>
              <w:jc w:val="center"/>
              <w:rPr>
                <w:rFonts w:cs="Calibri"/>
                <w:sz w:val="18"/>
                <w:szCs w:val="18"/>
              </w:rPr>
            </w:pPr>
            <w:r>
              <w:rPr>
                <w:rFonts w:cs="Calibri"/>
                <w:sz w:val="18"/>
                <w:szCs w:val="18"/>
              </w:rPr>
              <w:t>Pomoći</w:t>
            </w:r>
          </w:p>
        </w:tc>
        <w:tc>
          <w:tcPr>
            <w:tcW w:w="865" w:type="dxa"/>
            <w:shd w:val="clear" w:color="auto" w:fill="auto"/>
          </w:tcPr>
          <w:p w14:paraId="2CF7AD37" w14:textId="77777777" w:rsidR="0054307A" w:rsidRDefault="0054307A" w:rsidP="003C7EB4">
            <w:pPr>
              <w:pStyle w:val="Bezproreda"/>
              <w:jc w:val="center"/>
              <w:rPr>
                <w:rFonts w:cs="Calibri"/>
                <w:sz w:val="18"/>
                <w:szCs w:val="18"/>
              </w:rPr>
            </w:pPr>
            <w:r>
              <w:rPr>
                <w:rFonts w:cs="Calibri"/>
                <w:sz w:val="18"/>
                <w:szCs w:val="18"/>
              </w:rPr>
              <w:t>Donacije</w:t>
            </w:r>
          </w:p>
        </w:tc>
        <w:tc>
          <w:tcPr>
            <w:tcW w:w="1041" w:type="dxa"/>
            <w:shd w:val="clear" w:color="auto" w:fill="auto"/>
          </w:tcPr>
          <w:p w14:paraId="34BCD998" w14:textId="77777777" w:rsidR="0054307A" w:rsidRDefault="0054307A" w:rsidP="003C7EB4">
            <w:pPr>
              <w:pStyle w:val="Bezproreda"/>
              <w:jc w:val="center"/>
              <w:rPr>
                <w:rFonts w:cs="Calibri"/>
                <w:sz w:val="18"/>
                <w:szCs w:val="18"/>
              </w:rPr>
            </w:pPr>
            <w:r>
              <w:rPr>
                <w:rFonts w:cs="Calibri"/>
                <w:sz w:val="18"/>
                <w:szCs w:val="18"/>
              </w:rPr>
              <w:t>Prihodi od prodaje imovine i nadoknade štete od osiguranja</w:t>
            </w:r>
          </w:p>
        </w:tc>
        <w:tc>
          <w:tcPr>
            <w:tcW w:w="1120" w:type="dxa"/>
            <w:shd w:val="clear" w:color="auto" w:fill="auto"/>
          </w:tcPr>
          <w:p w14:paraId="4BF4620D" w14:textId="40A7C126" w:rsidR="0054307A" w:rsidRDefault="0054307A" w:rsidP="00CF7120">
            <w:pPr>
              <w:pStyle w:val="Bezproreda"/>
              <w:jc w:val="center"/>
              <w:rPr>
                <w:rFonts w:cs="Calibri"/>
                <w:sz w:val="18"/>
                <w:szCs w:val="18"/>
              </w:rPr>
            </w:pPr>
            <w:r>
              <w:rPr>
                <w:rFonts w:cs="Calibri"/>
                <w:sz w:val="18"/>
                <w:szCs w:val="18"/>
              </w:rPr>
              <w:t xml:space="preserve">VP prethodnog razdoblja </w:t>
            </w:r>
          </w:p>
        </w:tc>
        <w:tc>
          <w:tcPr>
            <w:tcW w:w="1276" w:type="dxa"/>
            <w:tcBorders>
              <w:bottom w:val="single" w:sz="4" w:space="0" w:color="auto"/>
            </w:tcBorders>
            <w:shd w:val="clear" w:color="auto" w:fill="auto"/>
          </w:tcPr>
          <w:p w14:paraId="796271A6" w14:textId="77777777" w:rsidR="0054307A" w:rsidRDefault="0054307A" w:rsidP="003C7EB4">
            <w:pPr>
              <w:jc w:val="center"/>
              <w:rPr>
                <w:rFonts w:ascii="Calibri" w:hAnsi="Calibri" w:cs="Calibri"/>
                <w:sz w:val="18"/>
                <w:szCs w:val="18"/>
              </w:rPr>
            </w:pPr>
            <w:r>
              <w:rPr>
                <w:rFonts w:ascii="Calibri" w:hAnsi="Calibri" w:cs="Calibri"/>
                <w:sz w:val="18"/>
                <w:szCs w:val="18"/>
              </w:rPr>
              <w:t>Rezultat</w:t>
            </w:r>
          </w:p>
        </w:tc>
      </w:tr>
      <w:tr w:rsidR="0054307A" w14:paraId="48203BD5" w14:textId="77777777" w:rsidTr="0054307A">
        <w:tc>
          <w:tcPr>
            <w:tcW w:w="1121" w:type="dxa"/>
            <w:shd w:val="clear" w:color="auto" w:fill="auto"/>
          </w:tcPr>
          <w:p w14:paraId="5FF49BE7" w14:textId="77777777" w:rsidR="0054307A" w:rsidRDefault="0054307A" w:rsidP="003C7EB4">
            <w:pPr>
              <w:pStyle w:val="Bezproreda"/>
              <w:jc w:val="center"/>
              <w:rPr>
                <w:rFonts w:cs="Calibri"/>
                <w:sz w:val="16"/>
                <w:szCs w:val="16"/>
              </w:rPr>
            </w:pPr>
            <w:r>
              <w:rPr>
                <w:rFonts w:cs="Calibri"/>
                <w:sz w:val="16"/>
                <w:szCs w:val="16"/>
              </w:rPr>
              <w:t>6</w:t>
            </w:r>
          </w:p>
        </w:tc>
        <w:tc>
          <w:tcPr>
            <w:tcW w:w="1084" w:type="dxa"/>
            <w:shd w:val="clear" w:color="auto" w:fill="auto"/>
          </w:tcPr>
          <w:p w14:paraId="460DDA2A" w14:textId="77777777" w:rsidR="0054307A" w:rsidRDefault="0054307A" w:rsidP="003C7EB4">
            <w:pPr>
              <w:pStyle w:val="Bezproreda"/>
              <w:jc w:val="center"/>
              <w:rPr>
                <w:rFonts w:cs="Calibri"/>
                <w:sz w:val="16"/>
                <w:szCs w:val="16"/>
              </w:rPr>
            </w:pPr>
            <w:r>
              <w:rPr>
                <w:rFonts w:cs="Calibri"/>
                <w:sz w:val="16"/>
                <w:szCs w:val="16"/>
              </w:rPr>
              <w:t>1.544.767,05</w:t>
            </w:r>
          </w:p>
        </w:tc>
        <w:tc>
          <w:tcPr>
            <w:tcW w:w="967" w:type="dxa"/>
            <w:shd w:val="clear" w:color="auto" w:fill="auto"/>
          </w:tcPr>
          <w:p w14:paraId="1C7750A8" w14:textId="77777777" w:rsidR="0054307A" w:rsidRDefault="0054307A" w:rsidP="003C7EB4">
            <w:pPr>
              <w:pStyle w:val="Bezproreda"/>
              <w:jc w:val="center"/>
              <w:rPr>
                <w:rFonts w:cs="Calibri"/>
                <w:sz w:val="16"/>
                <w:szCs w:val="16"/>
              </w:rPr>
            </w:pPr>
            <w:r>
              <w:rPr>
                <w:rFonts w:cs="Calibri"/>
                <w:sz w:val="16"/>
                <w:szCs w:val="16"/>
              </w:rPr>
              <w:t>31.820,00</w:t>
            </w:r>
          </w:p>
        </w:tc>
        <w:tc>
          <w:tcPr>
            <w:tcW w:w="984" w:type="dxa"/>
            <w:shd w:val="clear" w:color="auto" w:fill="auto"/>
          </w:tcPr>
          <w:p w14:paraId="285DF6E1" w14:textId="77777777" w:rsidR="0054307A" w:rsidRDefault="0054307A" w:rsidP="003C7EB4">
            <w:pPr>
              <w:pStyle w:val="Bezproreda"/>
              <w:jc w:val="center"/>
              <w:rPr>
                <w:rFonts w:cs="Calibri"/>
                <w:sz w:val="16"/>
                <w:szCs w:val="16"/>
              </w:rPr>
            </w:pPr>
            <w:r>
              <w:rPr>
                <w:rFonts w:cs="Calibri"/>
                <w:sz w:val="16"/>
                <w:szCs w:val="16"/>
              </w:rPr>
              <w:t>577.682,50</w:t>
            </w:r>
          </w:p>
        </w:tc>
        <w:tc>
          <w:tcPr>
            <w:tcW w:w="1148" w:type="dxa"/>
            <w:shd w:val="clear" w:color="auto" w:fill="auto"/>
          </w:tcPr>
          <w:p w14:paraId="37D4D1E8" w14:textId="77777777" w:rsidR="0054307A" w:rsidRDefault="0054307A" w:rsidP="003C7EB4">
            <w:pPr>
              <w:pStyle w:val="Bezproreda"/>
              <w:jc w:val="center"/>
              <w:rPr>
                <w:rFonts w:cs="Calibri"/>
                <w:sz w:val="16"/>
                <w:szCs w:val="16"/>
              </w:rPr>
            </w:pPr>
            <w:r>
              <w:rPr>
                <w:rFonts w:cs="Calibri"/>
                <w:sz w:val="16"/>
                <w:szCs w:val="16"/>
              </w:rPr>
              <w:t>10.480.135,98</w:t>
            </w:r>
          </w:p>
        </w:tc>
        <w:tc>
          <w:tcPr>
            <w:tcW w:w="865" w:type="dxa"/>
            <w:shd w:val="clear" w:color="auto" w:fill="auto"/>
          </w:tcPr>
          <w:p w14:paraId="7A8585A6" w14:textId="77777777" w:rsidR="0054307A" w:rsidRDefault="0054307A" w:rsidP="003C7EB4">
            <w:pPr>
              <w:pStyle w:val="Bezproreda"/>
              <w:jc w:val="center"/>
              <w:rPr>
                <w:rFonts w:cs="Calibri"/>
                <w:sz w:val="16"/>
                <w:szCs w:val="16"/>
              </w:rPr>
            </w:pPr>
            <w:r>
              <w:rPr>
                <w:rFonts w:cs="Calibri"/>
                <w:sz w:val="16"/>
                <w:szCs w:val="16"/>
              </w:rPr>
              <w:t>14.207,06</w:t>
            </w:r>
          </w:p>
        </w:tc>
        <w:tc>
          <w:tcPr>
            <w:tcW w:w="1041" w:type="dxa"/>
            <w:shd w:val="clear" w:color="auto" w:fill="auto"/>
          </w:tcPr>
          <w:p w14:paraId="6F651F5F" w14:textId="77777777" w:rsidR="0054307A" w:rsidRDefault="0054307A" w:rsidP="003C7EB4">
            <w:pPr>
              <w:pStyle w:val="Bezproreda"/>
              <w:jc w:val="center"/>
              <w:rPr>
                <w:rFonts w:cs="Calibri"/>
                <w:sz w:val="16"/>
                <w:szCs w:val="16"/>
              </w:rPr>
            </w:pPr>
          </w:p>
        </w:tc>
        <w:tc>
          <w:tcPr>
            <w:tcW w:w="1120" w:type="dxa"/>
            <w:shd w:val="clear" w:color="auto" w:fill="auto"/>
          </w:tcPr>
          <w:p w14:paraId="15717946" w14:textId="77777777" w:rsidR="0054307A" w:rsidRDefault="0054307A" w:rsidP="003C7EB4">
            <w:pPr>
              <w:pStyle w:val="Bezproreda"/>
              <w:jc w:val="center"/>
              <w:rPr>
                <w:rFonts w:cs="Calibri"/>
                <w:sz w:val="16"/>
                <w:szCs w:val="16"/>
              </w:rPr>
            </w:pPr>
          </w:p>
        </w:tc>
        <w:tc>
          <w:tcPr>
            <w:tcW w:w="1276" w:type="dxa"/>
            <w:tcBorders>
              <w:bottom w:val="single" w:sz="4" w:space="0" w:color="auto"/>
            </w:tcBorders>
            <w:shd w:val="clear" w:color="auto" w:fill="auto"/>
          </w:tcPr>
          <w:p w14:paraId="3D462C5A" w14:textId="77777777" w:rsidR="0054307A" w:rsidRDefault="0054307A" w:rsidP="003C7EB4">
            <w:pPr>
              <w:jc w:val="center"/>
              <w:rPr>
                <w:rFonts w:ascii="Calibri" w:hAnsi="Calibri" w:cs="Calibri"/>
                <w:sz w:val="16"/>
                <w:szCs w:val="16"/>
              </w:rPr>
            </w:pPr>
            <w:r>
              <w:rPr>
                <w:rFonts w:ascii="Calibri" w:hAnsi="Calibri" w:cs="Calibri"/>
                <w:sz w:val="16"/>
                <w:szCs w:val="16"/>
              </w:rPr>
              <w:t>12.648.612,59</w:t>
            </w:r>
          </w:p>
        </w:tc>
      </w:tr>
      <w:tr w:rsidR="0054307A" w14:paraId="2ACED72C" w14:textId="77777777" w:rsidTr="0054307A">
        <w:tc>
          <w:tcPr>
            <w:tcW w:w="1121" w:type="dxa"/>
            <w:shd w:val="clear" w:color="auto" w:fill="auto"/>
          </w:tcPr>
          <w:p w14:paraId="17A42AA1" w14:textId="77777777" w:rsidR="0054307A" w:rsidRDefault="0054307A" w:rsidP="003C7EB4">
            <w:pPr>
              <w:pStyle w:val="Bezproreda"/>
              <w:jc w:val="center"/>
              <w:rPr>
                <w:rFonts w:cs="Calibri"/>
                <w:sz w:val="16"/>
                <w:szCs w:val="16"/>
              </w:rPr>
            </w:pPr>
            <w:r>
              <w:rPr>
                <w:rFonts w:cs="Calibri"/>
                <w:sz w:val="16"/>
                <w:szCs w:val="16"/>
              </w:rPr>
              <w:t>3</w:t>
            </w:r>
          </w:p>
        </w:tc>
        <w:tc>
          <w:tcPr>
            <w:tcW w:w="1084" w:type="dxa"/>
            <w:shd w:val="clear" w:color="auto" w:fill="auto"/>
          </w:tcPr>
          <w:p w14:paraId="10042A93" w14:textId="77777777" w:rsidR="0054307A" w:rsidRDefault="0054307A" w:rsidP="003C7EB4">
            <w:pPr>
              <w:pStyle w:val="Bezproreda"/>
              <w:jc w:val="center"/>
              <w:rPr>
                <w:rFonts w:cs="Calibri"/>
                <w:sz w:val="16"/>
                <w:szCs w:val="16"/>
              </w:rPr>
            </w:pPr>
            <w:r>
              <w:rPr>
                <w:rFonts w:cs="Calibri"/>
                <w:sz w:val="16"/>
                <w:szCs w:val="16"/>
              </w:rPr>
              <w:t>1.359.414,27</w:t>
            </w:r>
          </w:p>
        </w:tc>
        <w:tc>
          <w:tcPr>
            <w:tcW w:w="967" w:type="dxa"/>
            <w:shd w:val="clear" w:color="auto" w:fill="auto"/>
          </w:tcPr>
          <w:p w14:paraId="0AE1F2D7" w14:textId="77777777" w:rsidR="0054307A" w:rsidRDefault="0054307A" w:rsidP="003C7EB4">
            <w:pPr>
              <w:pStyle w:val="Bezproreda"/>
              <w:jc w:val="center"/>
              <w:rPr>
                <w:rFonts w:cs="Calibri"/>
                <w:sz w:val="16"/>
                <w:szCs w:val="16"/>
              </w:rPr>
            </w:pPr>
            <w:r>
              <w:rPr>
                <w:rFonts w:cs="Calibri"/>
                <w:sz w:val="16"/>
                <w:szCs w:val="16"/>
              </w:rPr>
              <w:t>2.009,08</w:t>
            </w:r>
          </w:p>
        </w:tc>
        <w:tc>
          <w:tcPr>
            <w:tcW w:w="984" w:type="dxa"/>
            <w:shd w:val="clear" w:color="auto" w:fill="auto"/>
          </w:tcPr>
          <w:p w14:paraId="192DE6BE" w14:textId="77777777" w:rsidR="0054307A" w:rsidRDefault="0054307A" w:rsidP="003C7EB4">
            <w:pPr>
              <w:pStyle w:val="Bezproreda"/>
              <w:jc w:val="center"/>
              <w:rPr>
                <w:rFonts w:cs="Calibri"/>
                <w:sz w:val="16"/>
                <w:szCs w:val="16"/>
              </w:rPr>
            </w:pPr>
            <w:r>
              <w:rPr>
                <w:rFonts w:cs="Calibri"/>
                <w:sz w:val="16"/>
                <w:szCs w:val="16"/>
              </w:rPr>
              <w:t>529.596,53</w:t>
            </w:r>
          </w:p>
        </w:tc>
        <w:tc>
          <w:tcPr>
            <w:tcW w:w="1148" w:type="dxa"/>
            <w:shd w:val="clear" w:color="auto" w:fill="auto"/>
          </w:tcPr>
          <w:p w14:paraId="10F9C930" w14:textId="77777777" w:rsidR="0054307A" w:rsidRDefault="0054307A" w:rsidP="003C7EB4">
            <w:pPr>
              <w:pStyle w:val="Bezproreda"/>
              <w:jc w:val="center"/>
              <w:rPr>
                <w:rFonts w:cs="Calibri"/>
                <w:sz w:val="16"/>
                <w:szCs w:val="16"/>
              </w:rPr>
            </w:pPr>
            <w:r>
              <w:rPr>
                <w:rFonts w:cs="Calibri"/>
                <w:sz w:val="16"/>
                <w:szCs w:val="16"/>
              </w:rPr>
              <w:t>10.431.556,34</w:t>
            </w:r>
          </w:p>
        </w:tc>
        <w:tc>
          <w:tcPr>
            <w:tcW w:w="865" w:type="dxa"/>
            <w:shd w:val="clear" w:color="auto" w:fill="auto"/>
          </w:tcPr>
          <w:p w14:paraId="59A7F8D3" w14:textId="77777777" w:rsidR="0054307A" w:rsidRDefault="0054307A" w:rsidP="003C7EB4">
            <w:pPr>
              <w:pStyle w:val="Bezproreda"/>
              <w:jc w:val="center"/>
              <w:rPr>
                <w:rFonts w:cs="Calibri"/>
                <w:sz w:val="16"/>
                <w:szCs w:val="16"/>
              </w:rPr>
            </w:pPr>
            <w:r>
              <w:rPr>
                <w:rFonts w:cs="Calibri"/>
                <w:sz w:val="16"/>
                <w:szCs w:val="16"/>
              </w:rPr>
              <w:t>3.265,41</w:t>
            </w:r>
          </w:p>
        </w:tc>
        <w:tc>
          <w:tcPr>
            <w:tcW w:w="1041" w:type="dxa"/>
            <w:shd w:val="clear" w:color="auto" w:fill="auto"/>
          </w:tcPr>
          <w:p w14:paraId="1C018DF2" w14:textId="77777777" w:rsidR="0054307A" w:rsidRDefault="0054307A" w:rsidP="003C7EB4">
            <w:pPr>
              <w:pStyle w:val="Bezproreda"/>
              <w:jc w:val="center"/>
              <w:rPr>
                <w:rFonts w:cs="Calibri"/>
                <w:sz w:val="16"/>
                <w:szCs w:val="16"/>
              </w:rPr>
            </w:pPr>
            <w:r>
              <w:rPr>
                <w:rFonts w:cs="Calibri"/>
                <w:sz w:val="16"/>
                <w:szCs w:val="16"/>
              </w:rPr>
              <w:t>1.289,40</w:t>
            </w:r>
          </w:p>
        </w:tc>
        <w:tc>
          <w:tcPr>
            <w:tcW w:w="1120" w:type="dxa"/>
            <w:shd w:val="clear" w:color="auto" w:fill="auto"/>
          </w:tcPr>
          <w:p w14:paraId="02AF47D9" w14:textId="77777777" w:rsidR="0054307A" w:rsidRDefault="0054307A" w:rsidP="003C7EB4">
            <w:pPr>
              <w:pStyle w:val="Bezproreda"/>
              <w:jc w:val="center"/>
              <w:rPr>
                <w:rFonts w:cs="Calibri"/>
                <w:sz w:val="16"/>
                <w:szCs w:val="16"/>
              </w:rPr>
            </w:pPr>
            <w:r>
              <w:rPr>
                <w:rFonts w:cs="Calibri"/>
                <w:sz w:val="16"/>
                <w:szCs w:val="16"/>
              </w:rPr>
              <w:t>7.700,00</w:t>
            </w:r>
          </w:p>
        </w:tc>
        <w:tc>
          <w:tcPr>
            <w:tcW w:w="1276" w:type="dxa"/>
            <w:tcBorders>
              <w:bottom w:val="single" w:sz="4" w:space="0" w:color="auto"/>
            </w:tcBorders>
            <w:shd w:val="clear" w:color="auto" w:fill="auto"/>
          </w:tcPr>
          <w:p w14:paraId="1963F586" w14:textId="77777777" w:rsidR="0054307A" w:rsidRDefault="0054307A" w:rsidP="003C7EB4">
            <w:pPr>
              <w:jc w:val="center"/>
              <w:rPr>
                <w:rFonts w:ascii="Calibri" w:hAnsi="Calibri" w:cs="Calibri"/>
                <w:sz w:val="16"/>
                <w:szCs w:val="16"/>
              </w:rPr>
            </w:pPr>
            <w:r>
              <w:rPr>
                <w:rFonts w:ascii="Calibri" w:hAnsi="Calibri" w:cs="Calibri"/>
                <w:sz w:val="16"/>
                <w:szCs w:val="16"/>
              </w:rPr>
              <w:t>12.334.831,03</w:t>
            </w:r>
          </w:p>
        </w:tc>
      </w:tr>
      <w:tr w:rsidR="0054307A" w14:paraId="3BC9D220" w14:textId="77777777" w:rsidTr="0054307A">
        <w:tc>
          <w:tcPr>
            <w:tcW w:w="1121" w:type="dxa"/>
            <w:shd w:val="clear" w:color="auto" w:fill="auto"/>
          </w:tcPr>
          <w:p w14:paraId="5C217405" w14:textId="77777777" w:rsidR="0054307A" w:rsidRDefault="0054307A" w:rsidP="003C7EB4">
            <w:pPr>
              <w:pStyle w:val="Bezproreda"/>
              <w:jc w:val="center"/>
              <w:rPr>
                <w:rFonts w:cs="Calibri"/>
                <w:sz w:val="16"/>
                <w:szCs w:val="16"/>
              </w:rPr>
            </w:pPr>
            <w:r>
              <w:rPr>
                <w:rFonts w:cs="Calibri"/>
                <w:sz w:val="16"/>
                <w:szCs w:val="16"/>
              </w:rPr>
              <w:t>Višak/manjak redovnog poslovanja</w:t>
            </w:r>
          </w:p>
        </w:tc>
        <w:tc>
          <w:tcPr>
            <w:tcW w:w="1084" w:type="dxa"/>
            <w:shd w:val="clear" w:color="auto" w:fill="auto"/>
          </w:tcPr>
          <w:p w14:paraId="0A6CD722" w14:textId="77777777" w:rsidR="0054307A" w:rsidRDefault="0054307A" w:rsidP="003C7EB4">
            <w:pPr>
              <w:pStyle w:val="Bezproreda"/>
              <w:jc w:val="center"/>
              <w:rPr>
                <w:rFonts w:cs="Calibri"/>
                <w:sz w:val="16"/>
                <w:szCs w:val="16"/>
              </w:rPr>
            </w:pPr>
            <w:r>
              <w:rPr>
                <w:rFonts w:cs="Calibri"/>
                <w:sz w:val="16"/>
                <w:szCs w:val="16"/>
              </w:rPr>
              <w:t>185.352,78</w:t>
            </w:r>
          </w:p>
        </w:tc>
        <w:tc>
          <w:tcPr>
            <w:tcW w:w="967" w:type="dxa"/>
            <w:shd w:val="clear" w:color="auto" w:fill="auto"/>
          </w:tcPr>
          <w:p w14:paraId="0C85FBBC" w14:textId="77777777" w:rsidR="0054307A" w:rsidRDefault="0054307A" w:rsidP="003C7EB4">
            <w:pPr>
              <w:pStyle w:val="Bezproreda"/>
              <w:jc w:val="center"/>
              <w:rPr>
                <w:rFonts w:cs="Calibri"/>
                <w:sz w:val="16"/>
                <w:szCs w:val="16"/>
              </w:rPr>
            </w:pPr>
            <w:r>
              <w:rPr>
                <w:rFonts w:cs="Calibri"/>
                <w:sz w:val="16"/>
                <w:szCs w:val="16"/>
              </w:rPr>
              <w:t>29.810,92</w:t>
            </w:r>
          </w:p>
        </w:tc>
        <w:tc>
          <w:tcPr>
            <w:tcW w:w="984" w:type="dxa"/>
            <w:shd w:val="clear" w:color="auto" w:fill="auto"/>
          </w:tcPr>
          <w:p w14:paraId="0B17209C" w14:textId="77777777" w:rsidR="0054307A" w:rsidRDefault="0054307A" w:rsidP="003C7EB4">
            <w:pPr>
              <w:pStyle w:val="Bezproreda"/>
              <w:jc w:val="center"/>
              <w:rPr>
                <w:rFonts w:cs="Calibri"/>
                <w:sz w:val="16"/>
                <w:szCs w:val="16"/>
              </w:rPr>
            </w:pPr>
            <w:r>
              <w:rPr>
                <w:rFonts w:cs="Calibri"/>
                <w:sz w:val="16"/>
                <w:szCs w:val="16"/>
              </w:rPr>
              <w:t>48.085,97</w:t>
            </w:r>
          </w:p>
        </w:tc>
        <w:tc>
          <w:tcPr>
            <w:tcW w:w="1148" w:type="dxa"/>
            <w:shd w:val="clear" w:color="auto" w:fill="auto"/>
          </w:tcPr>
          <w:p w14:paraId="114AB4D3" w14:textId="77777777" w:rsidR="0054307A" w:rsidRDefault="0054307A" w:rsidP="003C7EB4">
            <w:pPr>
              <w:pStyle w:val="Bezproreda"/>
              <w:jc w:val="center"/>
              <w:rPr>
                <w:rFonts w:cs="Calibri"/>
                <w:sz w:val="16"/>
                <w:szCs w:val="16"/>
              </w:rPr>
            </w:pPr>
            <w:r>
              <w:rPr>
                <w:rFonts w:cs="Calibri"/>
                <w:sz w:val="16"/>
                <w:szCs w:val="16"/>
              </w:rPr>
              <w:t>48.579,64</w:t>
            </w:r>
          </w:p>
        </w:tc>
        <w:tc>
          <w:tcPr>
            <w:tcW w:w="865" w:type="dxa"/>
            <w:shd w:val="clear" w:color="auto" w:fill="auto"/>
          </w:tcPr>
          <w:p w14:paraId="7A07C64F" w14:textId="77777777" w:rsidR="0054307A" w:rsidRDefault="0054307A" w:rsidP="003C7EB4">
            <w:pPr>
              <w:pStyle w:val="Bezproreda"/>
              <w:jc w:val="center"/>
              <w:rPr>
                <w:rFonts w:cs="Calibri"/>
                <w:sz w:val="16"/>
                <w:szCs w:val="16"/>
              </w:rPr>
            </w:pPr>
            <w:r>
              <w:rPr>
                <w:rFonts w:cs="Calibri"/>
                <w:sz w:val="16"/>
                <w:szCs w:val="16"/>
              </w:rPr>
              <w:t>10.941,65</w:t>
            </w:r>
          </w:p>
        </w:tc>
        <w:tc>
          <w:tcPr>
            <w:tcW w:w="1041" w:type="dxa"/>
            <w:shd w:val="clear" w:color="auto" w:fill="auto"/>
          </w:tcPr>
          <w:p w14:paraId="174FC5BB" w14:textId="77777777" w:rsidR="0054307A" w:rsidRDefault="0054307A" w:rsidP="003C7EB4">
            <w:pPr>
              <w:pStyle w:val="Bezproreda"/>
              <w:jc w:val="center"/>
              <w:rPr>
                <w:rFonts w:cs="Calibri"/>
                <w:sz w:val="16"/>
                <w:szCs w:val="16"/>
              </w:rPr>
            </w:pPr>
            <w:r>
              <w:rPr>
                <w:rFonts w:cs="Calibri"/>
                <w:sz w:val="16"/>
                <w:szCs w:val="16"/>
              </w:rPr>
              <w:t>-1.289,40</w:t>
            </w:r>
          </w:p>
        </w:tc>
        <w:tc>
          <w:tcPr>
            <w:tcW w:w="1120" w:type="dxa"/>
            <w:shd w:val="clear" w:color="auto" w:fill="auto"/>
          </w:tcPr>
          <w:p w14:paraId="6A614251" w14:textId="77777777" w:rsidR="0054307A" w:rsidRDefault="0054307A" w:rsidP="003C7EB4">
            <w:pPr>
              <w:pStyle w:val="Bezproreda"/>
              <w:jc w:val="center"/>
              <w:rPr>
                <w:rFonts w:cs="Calibri"/>
                <w:sz w:val="16"/>
                <w:szCs w:val="16"/>
              </w:rPr>
            </w:pPr>
            <w:r>
              <w:rPr>
                <w:rFonts w:cs="Calibri"/>
                <w:sz w:val="16"/>
                <w:szCs w:val="16"/>
              </w:rPr>
              <w:t>-7.700,00</w:t>
            </w:r>
          </w:p>
        </w:tc>
        <w:tc>
          <w:tcPr>
            <w:tcW w:w="1276" w:type="dxa"/>
            <w:tcBorders>
              <w:bottom w:val="single" w:sz="4" w:space="0" w:color="auto"/>
            </w:tcBorders>
            <w:shd w:val="clear" w:color="auto" w:fill="auto"/>
          </w:tcPr>
          <w:p w14:paraId="3039FDC9" w14:textId="77777777" w:rsidR="0054307A" w:rsidRDefault="0054307A" w:rsidP="003C7EB4">
            <w:pPr>
              <w:jc w:val="center"/>
              <w:rPr>
                <w:rFonts w:ascii="Calibri" w:hAnsi="Calibri" w:cs="Calibri"/>
                <w:sz w:val="16"/>
                <w:szCs w:val="16"/>
              </w:rPr>
            </w:pPr>
            <w:r>
              <w:rPr>
                <w:rFonts w:ascii="Calibri" w:hAnsi="Calibri" w:cs="Calibri"/>
                <w:sz w:val="16"/>
                <w:szCs w:val="16"/>
              </w:rPr>
              <w:t>313.781,56</w:t>
            </w:r>
          </w:p>
        </w:tc>
      </w:tr>
      <w:tr w:rsidR="0054307A" w14:paraId="02BC01B1" w14:textId="77777777" w:rsidTr="0054307A">
        <w:tc>
          <w:tcPr>
            <w:tcW w:w="1121" w:type="dxa"/>
            <w:shd w:val="clear" w:color="auto" w:fill="auto"/>
          </w:tcPr>
          <w:p w14:paraId="488EE1C0" w14:textId="77777777" w:rsidR="0054307A" w:rsidRDefault="0054307A" w:rsidP="003C7EB4">
            <w:pPr>
              <w:pStyle w:val="Bezproreda"/>
              <w:jc w:val="center"/>
              <w:rPr>
                <w:rFonts w:cs="Calibri"/>
                <w:sz w:val="16"/>
                <w:szCs w:val="16"/>
              </w:rPr>
            </w:pPr>
            <w:r>
              <w:rPr>
                <w:rFonts w:cs="Calibri"/>
                <w:sz w:val="16"/>
                <w:szCs w:val="16"/>
              </w:rPr>
              <w:t>7</w:t>
            </w:r>
          </w:p>
        </w:tc>
        <w:tc>
          <w:tcPr>
            <w:tcW w:w="1084" w:type="dxa"/>
            <w:shd w:val="clear" w:color="auto" w:fill="auto"/>
          </w:tcPr>
          <w:p w14:paraId="2C777192" w14:textId="77777777" w:rsidR="0054307A" w:rsidRDefault="0054307A" w:rsidP="003C7EB4">
            <w:pPr>
              <w:pStyle w:val="Bezproreda"/>
              <w:jc w:val="center"/>
              <w:rPr>
                <w:rFonts w:cs="Calibri"/>
                <w:sz w:val="16"/>
                <w:szCs w:val="16"/>
              </w:rPr>
            </w:pPr>
            <w:r>
              <w:rPr>
                <w:rFonts w:cs="Calibri"/>
                <w:sz w:val="16"/>
                <w:szCs w:val="16"/>
              </w:rPr>
              <w:t>0</w:t>
            </w:r>
          </w:p>
        </w:tc>
        <w:tc>
          <w:tcPr>
            <w:tcW w:w="967" w:type="dxa"/>
            <w:shd w:val="clear" w:color="auto" w:fill="auto"/>
          </w:tcPr>
          <w:p w14:paraId="7D4CBA50" w14:textId="77777777" w:rsidR="0054307A" w:rsidRDefault="0054307A" w:rsidP="003C7EB4">
            <w:pPr>
              <w:pStyle w:val="Bezproreda"/>
              <w:jc w:val="center"/>
              <w:rPr>
                <w:rFonts w:cs="Calibri"/>
                <w:sz w:val="16"/>
                <w:szCs w:val="16"/>
              </w:rPr>
            </w:pPr>
            <w:r>
              <w:rPr>
                <w:rFonts w:cs="Calibri"/>
                <w:sz w:val="16"/>
                <w:szCs w:val="16"/>
              </w:rPr>
              <w:t>0</w:t>
            </w:r>
          </w:p>
        </w:tc>
        <w:tc>
          <w:tcPr>
            <w:tcW w:w="984" w:type="dxa"/>
            <w:shd w:val="clear" w:color="auto" w:fill="auto"/>
          </w:tcPr>
          <w:p w14:paraId="03948BD2" w14:textId="77777777" w:rsidR="0054307A" w:rsidRDefault="0054307A" w:rsidP="003C7EB4">
            <w:pPr>
              <w:pStyle w:val="Bezproreda"/>
              <w:jc w:val="center"/>
              <w:rPr>
                <w:rFonts w:cs="Calibri"/>
                <w:sz w:val="16"/>
                <w:szCs w:val="16"/>
              </w:rPr>
            </w:pPr>
            <w:r>
              <w:rPr>
                <w:rFonts w:cs="Calibri"/>
                <w:sz w:val="16"/>
                <w:szCs w:val="16"/>
              </w:rPr>
              <w:t>0</w:t>
            </w:r>
          </w:p>
        </w:tc>
        <w:tc>
          <w:tcPr>
            <w:tcW w:w="1148" w:type="dxa"/>
            <w:shd w:val="clear" w:color="auto" w:fill="auto"/>
          </w:tcPr>
          <w:p w14:paraId="74C4BB65" w14:textId="77777777" w:rsidR="0054307A" w:rsidRDefault="0054307A" w:rsidP="003C7EB4">
            <w:pPr>
              <w:pStyle w:val="Bezproreda"/>
              <w:jc w:val="center"/>
              <w:rPr>
                <w:rFonts w:cs="Calibri"/>
                <w:sz w:val="16"/>
                <w:szCs w:val="16"/>
              </w:rPr>
            </w:pPr>
            <w:r>
              <w:rPr>
                <w:rFonts w:cs="Calibri"/>
                <w:sz w:val="16"/>
                <w:szCs w:val="16"/>
              </w:rPr>
              <w:t>0</w:t>
            </w:r>
          </w:p>
        </w:tc>
        <w:tc>
          <w:tcPr>
            <w:tcW w:w="865" w:type="dxa"/>
            <w:shd w:val="clear" w:color="auto" w:fill="auto"/>
          </w:tcPr>
          <w:p w14:paraId="3A56162A" w14:textId="77777777" w:rsidR="0054307A" w:rsidRDefault="0054307A" w:rsidP="003C7EB4">
            <w:pPr>
              <w:pStyle w:val="Bezproreda"/>
              <w:jc w:val="center"/>
              <w:rPr>
                <w:rFonts w:cs="Calibri"/>
                <w:sz w:val="16"/>
                <w:szCs w:val="16"/>
              </w:rPr>
            </w:pPr>
            <w:r>
              <w:rPr>
                <w:rFonts w:cs="Calibri"/>
                <w:sz w:val="16"/>
                <w:szCs w:val="16"/>
              </w:rPr>
              <w:t>0</w:t>
            </w:r>
          </w:p>
        </w:tc>
        <w:tc>
          <w:tcPr>
            <w:tcW w:w="1041" w:type="dxa"/>
            <w:shd w:val="clear" w:color="auto" w:fill="auto"/>
          </w:tcPr>
          <w:p w14:paraId="139D287F" w14:textId="77777777" w:rsidR="0054307A" w:rsidRDefault="0054307A" w:rsidP="003C7EB4">
            <w:pPr>
              <w:pStyle w:val="Bezproreda"/>
              <w:jc w:val="center"/>
              <w:rPr>
                <w:rFonts w:cs="Calibri"/>
                <w:sz w:val="16"/>
                <w:szCs w:val="16"/>
              </w:rPr>
            </w:pPr>
            <w:r>
              <w:rPr>
                <w:rFonts w:cs="Calibri"/>
                <w:sz w:val="16"/>
                <w:szCs w:val="16"/>
              </w:rPr>
              <w:t>1.289,40</w:t>
            </w:r>
          </w:p>
        </w:tc>
        <w:tc>
          <w:tcPr>
            <w:tcW w:w="1120" w:type="dxa"/>
            <w:shd w:val="clear" w:color="auto" w:fill="auto"/>
          </w:tcPr>
          <w:p w14:paraId="0F273E72" w14:textId="77777777" w:rsidR="0054307A" w:rsidRDefault="0054307A" w:rsidP="003C7EB4">
            <w:pPr>
              <w:pStyle w:val="Bezproreda"/>
              <w:jc w:val="center"/>
              <w:rPr>
                <w:rFonts w:cs="Calibri"/>
                <w:sz w:val="16"/>
                <w:szCs w:val="16"/>
              </w:rPr>
            </w:pPr>
          </w:p>
        </w:tc>
        <w:tc>
          <w:tcPr>
            <w:tcW w:w="1276" w:type="dxa"/>
            <w:tcBorders>
              <w:bottom w:val="single" w:sz="4" w:space="0" w:color="auto"/>
            </w:tcBorders>
            <w:shd w:val="clear" w:color="auto" w:fill="auto"/>
          </w:tcPr>
          <w:p w14:paraId="6F9358A1" w14:textId="77777777" w:rsidR="0054307A" w:rsidRDefault="0054307A" w:rsidP="003C7EB4">
            <w:pPr>
              <w:jc w:val="center"/>
              <w:rPr>
                <w:rFonts w:ascii="Calibri" w:hAnsi="Calibri" w:cs="Calibri"/>
                <w:sz w:val="16"/>
                <w:szCs w:val="16"/>
              </w:rPr>
            </w:pPr>
            <w:r>
              <w:rPr>
                <w:rFonts w:ascii="Calibri" w:hAnsi="Calibri" w:cs="Calibri"/>
                <w:sz w:val="16"/>
                <w:szCs w:val="16"/>
              </w:rPr>
              <w:t>1.289,40</w:t>
            </w:r>
          </w:p>
        </w:tc>
      </w:tr>
      <w:tr w:rsidR="0054307A" w14:paraId="70731AA0" w14:textId="77777777" w:rsidTr="0054307A">
        <w:tc>
          <w:tcPr>
            <w:tcW w:w="1121" w:type="dxa"/>
            <w:shd w:val="clear" w:color="auto" w:fill="auto"/>
          </w:tcPr>
          <w:p w14:paraId="019997AE" w14:textId="77777777" w:rsidR="0054307A" w:rsidRDefault="0054307A" w:rsidP="003C7EB4">
            <w:pPr>
              <w:pStyle w:val="Bezproreda"/>
              <w:jc w:val="center"/>
              <w:rPr>
                <w:rFonts w:cs="Calibri"/>
                <w:sz w:val="16"/>
                <w:szCs w:val="16"/>
              </w:rPr>
            </w:pPr>
            <w:r>
              <w:rPr>
                <w:rFonts w:cs="Calibri"/>
                <w:sz w:val="16"/>
                <w:szCs w:val="16"/>
              </w:rPr>
              <w:t>4</w:t>
            </w:r>
          </w:p>
        </w:tc>
        <w:tc>
          <w:tcPr>
            <w:tcW w:w="1084" w:type="dxa"/>
            <w:shd w:val="clear" w:color="auto" w:fill="auto"/>
          </w:tcPr>
          <w:p w14:paraId="7C5CA069" w14:textId="77777777" w:rsidR="0054307A" w:rsidRDefault="0054307A" w:rsidP="003C7EB4">
            <w:pPr>
              <w:pStyle w:val="Bezproreda"/>
              <w:jc w:val="center"/>
              <w:rPr>
                <w:rFonts w:cs="Calibri"/>
                <w:sz w:val="16"/>
                <w:szCs w:val="16"/>
              </w:rPr>
            </w:pPr>
            <w:r>
              <w:rPr>
                <w:rFonts w:cs="Calibri"/>
                <w:sz w:val="16"/>
                <w:szCs w:val="16"/>
              </w:rPr>
              <w:t>183.939,76</w:t>
            </w:r>
          </w:p>
        </w:tc>
        <w:tc>
          <w:tcPr>
            <w:tcW w:w="967" w:type="dxa"/>
            <w:shd w:val="clear" w:color="auto" w:fill="auto"/>
          </w:tcPr>
          <w:p w14:paraId="0882E7CF" w14:textId="77777777" w:rsidR="0054307A" w:rsidRDefault="0054307A" w:rsidP="003C7EB4">
            <w:pPr>
              <w:pStyle w:val="Bezproreda"/>
              <w:jc w:val="center"/>
              <w:rPr>
                <w:rFonts w:cs="Calibri"/>
                <w:sz w:val="16"/>
                <w:szCs w:val="16"/>
              </w:rPr>
            </w:pPr>
            <w:r>
              <w:rPr>
                <w:rFonts w:cs="Calibri"/>
                <w:sz w:val="16"/>
                <w:szCs w:val="16"/>
              </w:rPr>
              <w:t>6.625,00</w:t>
            </w:r>
          </w:p>
        </w:tc>
        <w:tc>
          <w:tcPr>
            <w:tcW w:w="984" w:type="dxa"/>
            <w:shd w:val="clear" w:color="auto" w:fill="auto"/>
          </w:tcPr>
          <w:p w14:paraId="2103A6D3" w14:textId="77777777" w:rsidR="0054307A" w:rsidRDefault="0054307A" w:rsidP="003C7EB4">
            <w:pPr>
              <w:pStyle w:val="Bezproreda"/>
              <w:jc w:val="center"/>
              <w:rPr>
                <w:rFonts w:cs="Calibri"/>
                <w:sz w:val="16"/>
                <w:szCs w:val="16"/>
              </w:rPr>
            </w:pPr>
            <w:r>
              <w:rPr>
                <w:rFonts w:cs="Calibri"/>
                <w:sz w:val="16"/>
                <w:szCs w:val="16"/>
              </w:rPr>
              <w:t>361,76</w:t>
            </w:r>
          </w:p>
        </w:tc>
        <w:tc>
          <w:tcPr>
            <w:tcW w:w="1148" w:type="dxa"/>
            <w:shd w:val="clear" w:color="auto" w:fill="auto"/>
          </w:tcPr>
          <w:p w14:paraId="2423B017" w14:textId="77777777" w:rsidR="0054307A" w:rsidRDefault="0054307A" w:rsidP="003C7EB4">
            <w:pPr>
              <w:pStyle w:val="Bezproreda"/>
              <w:jc w:val="center"/>
              <w:rPr>
                <w:rFonts w:cs="Calibri"/>
                <w:sz w:val="16"/>
                <w:szCs w:val="16"/>
              </w:rPr>
            </w:pPr>
            <w:r>
              <w:rPr>
                <w:rFonts w:cs="Calibri"/>
                <w:sz w:val="16"/>
                <w:szCs w:val="16"/>
              </w:rPr>
              <w:t>22.652,57</w:t>
            </w:r>
          </w:p>
        </w:tc>
        <w:tc>
          <w:tcPr>
            <w:tcW w:w="865" w:type="dxa"/>
            <w:shd w:val="clear" w:color="auto" w:fill="auto"/>
          </w:tcPr>
          <w:p w14:paraId="0827281E" w14:textId="77777777" w:rsidR="0054307A" w:rsidRDefault="0054307A" w:rsidP="003C7EB4">
            <w:pPr>
              <w:pStyle w:val="Bezproreda"/>
              <w:jc w:val="center"/>
              <w:rPr>
                <w:rFonts w:cs="Calibri"/>
                <w:sz w:val="16"/>
                <w:szCs w:val="16"/>
              </w:rPr>
            </w:pPr>
            <w:r>
              <w:rPr>
                <w:rFonts w:cs="Calibri"/>
                <w:sz w:val="16"/>
                <w:szCs w:val="16"/>
              </w:rPr>
              <w:t>3.973,06</w:t>
            </w:r>
          </w:p>
        </w:tc>
        <w:tc>
          <w:tcPr>
            <w:tcW w:w="1041" w:type="dxa"/>
            <w:shd w:val="clear" w:color="auto" w:fill="auto"/>
          </w:tcPr>
          <w:p w14:paraId="613ABE7E" w14:textId="77777777" w:rsidR="0054307A" w:rsidRDefault="0054307A" w:rsidP="003C7EB4">
            <w:pPr>
              <w:pStyle w:val="Bezproreda"/>
              <w:jc w:val="center"/>
              <w:rPr>
                <w:rFonts w:cs="Calibri"/>
                <w:sz w:val="16"/>
                <w:szCs w:val="16"/>
              </w:rPr>
            </w:pPr>
          </w:p>
        </w:tc>
        <w:tc>
          <w:tcPr>
            <w:tcW w:w="1120" w:type="dxa"/>
            <w:shd w:val="clear" w:color="auto" w:fill="auto"/>
          </w:tcPr>
          <w:p w14:paraId="25AADF70" w14:textId="77777777" w:rsidR="0054307A" w:rsidRDefault="0054307A" w:rsidP="003C7EB4">
            <w:pPr>
              <w:pStyle w:val="Bezproreda"/>
              <w:jc w:val="center"/>
              <w:rPr>
                <w:rFonts w:cs="Calibri"/>
                <w:sz w:val="16"/>
                <w:szCs w:val="16"/>
              </w:rPr>
            </w:pPr>
          </w:p>
        </w:tc>
        <w:tc>
          <w:tcPr>
            <w:tcW w:w="1276" w:type="dxa"/>
            <w:tcBorders>
              <w:bottom w:val="single" w:sz="4" w:space="0" w:color="auto"/>
            </w:tcBorders>
            <w:shd w:val="clear" w:color="auto" w:fill="auto"/>
          </w:tcPr>
          <w:p w14:paraId="274A823D" w14:textId="77777777" w:rsidR="0054307A" w:rsidRDefault="0054307A" w:rsidP="003C7EB4">
            <w:pPr>
              <w:jc w:val="center"/>
              <w:rPr>
                <w:rFonts w:ascii="Calibri" w:hAnsi="Calibri" w:cs="Calibri"/>
                <w:sz w:val="16"/>
                <w:szCs w:val="16"/>
              </w:rPr>
            </w:pPr>
            <w:r>
              <w:rPr>
                <w:rFonts w:ascii="Calibri" w:hAnsi="Calibri" w:cs="Calibri"/>
                <w:sz w:val="16"/>
                <w:szCs w:val="16"/>
              </w:rPr>
              <w:t>217.552,15</w:t>
            </w:r>
          </w:p>
        </w:tc>
      </w:tr>
      <w:tr w:rsidR="0054307A" w14:paraId="19EFBEE4" w14:textId="77777777" w:rsidTr="0054307A">
        <w:tc>
          <w:tcPr>
            <w:tcW w:w="1121" w:type="dxa"/>
            <w:tcBorders>
              <w:bottom w:val="single" w:sz="4" w:space="0" w:color="auto"/>
            </w:tcBorders>
            <w:shd w:val="clear" w:color="auto" w:fill="auto"/>
          </w:tcPr>
          <w:p w14:paraId="0AD15C5F" w14:textId="77777777" w:rsidR="0054307A" w:rsidRDefault="0054307A" w:rsidP="003C7EB4">
            <w:pPr>
              <w:pStyle w:val="Bezproreda"/>
              <w:jc w:val="center"/>
              <w:rPr>
                <w:rFonts w:cs="Calibri"/>
                <w:sz w:val="16"/>
                <w:szCs w:val="16"/>
              </w:rPr>
            </w:pPr>
            <w:r>
              <w:rPr>
                <w:rFonts w:cs="Calibri"/>
                <w:sz w:val="16"/>
                <w:szCs w:val="16"/>
              </w:rPr>
              <w:t>Višak/manjak  od nefinancijske imovine</w:t>
            </w:r>
          </w:p>
        </w:tc>
        <w:tc>
          <w:tcPr>
            <w:tcW w:w="1084" w:type="dxa"/>
            <w:tcBorders>
              <w:bottom w:val="single" w:sz="4" w:space="0" w:color="auto"/>
            </w:tcBorders>
            <w:shd w:val="clear" w:color="auto" w:fill="auto"/>
          </w:tcPr>
          <w:p w14:paraId="1CD15FE3" w14:textId="77777777" w:rsidR="0054307A" w:rsidRDefault="0054307A" w:rsidP="003C7EB4">
            <w:pPr>
              <w:pStyle w:val="Bezproreda"/>
              <w:jc w:val="center"/>
              <w:rPr>
                <w:rFonts w:cs="Calibri"/>
                <w:sz w:val="16"/>
                <w:szCs w:val="16"/>
              </w:rPr>
            </w:pPr>
            <w:r>
              <w:rPr>
                <w:rFonts w:cs="Calibri"/>
                <w:sz w:val="16"/>
                <w:szCs w:val="16"/>
              </w:rPr>
              <w:t>-183.939,76</w:t>
            </w:r>
          </w:p>
        </w:tc>
        <w:tc>
          <w:tcPr>
            <w:tcW w:w="967" w:type="dxa"/>
            <w:tcBorders>
              <w:bottom w:val="single" w:sz="4" w:space="0" w:color="auto"/>
            </w:tcBorders>
            <w:shd w:val="clear" w:color="auto" w:fill="auto"/>
          </w:tcPr>
          <w:p w14:paraId="275843DC" w14:textId="77777777" w:rsidR="0054307A" w:rsidRDefault="0054307A" w:rsidP="003C7EB4">
            <w:pPr>
              <w:pStyle w:val="Bezproreda"/>
              <w:jc w:val="center"/>
              <w:rPr>
                <w:rFonts w:cs="Calibri"/>
                <w:sz w:val="16"/>
                <w:szCs w:val="16"/>
              </w:rPr>
            </w:pPr>
            <w:r>
              <w:rPr>
                <w:rFonts w:cs="Calibri"/>
                <w:sz w:val="16"/>
                <w:szCs w:val="16"/>
              </w:rPr>
              <w:t>-6.625,00</w:t>
            </w:r>
          </w:p>
        </w:tc>
        <w:tc>
          <w:tcPr>
            <w:tcW w:w="984" w:type="dxa"/>
            <w:tcBorders>
              <w:bottom w:val="single" w:sz="4" w:space="0" w:color="auto"/>
            </w:tcBorders>
            <w:shd w:val="clear" w:color="auto" w:fill="auto"/>
          </w:tcPr>
          <w:p w14:paraId="003011D6" w14:textId="77777777" w:rsidR="0054307A" w:rsidRDefault="0054307A" w:rsidP="003C7EB4">
            <w:pPr>
              <w:pStyle w:val="Bezproreda"/>
              <w:jc w:val="center"/>
              <w:rPr>
                <w:rFonts w:cs="Calibri"/>
                <w:sz w:val="16"/>
                <w:szCs w:val="16"/>
              </w:rPr>
            </w:pPr>
            <w:r>
              <w:rPr>
                <w:rFonts w:cs="Calibri"/>
                <w:sz w:val="16"/>
                <w:szCs w:val="16"/>
              </w:rPr>
              <w:t>-361,76</w:t>
            </w:r>
          </w:p>
        </w:tc>
        <w:tc>
          <w:tcPr>
            <w:tcW w:w="1148" w:type="dxa"/>
            <w:tcBorders>
              <w:bottom w:val="single" w:sz="4" w:space="0" w:color="auto"/>
            </w:tcBorders>
            <w:shd w:val="clear" w:color="auto" w:fill="auto"/>
          </w:tcPr>
          <w:p w14:paraId="4F28FA16" w14:textId="77777777" w:rsidR="0054307A" w:rsidRDefault="0054307A" w:rsidP="003C7EB4">
            <w:pPr>
              <w:pStyle w:val="Bezproreda"/>
              <w:jc w:val="center"/>
              <w:rPr>
                <w:rFonts w:cs="Calibri"/>
                <w:sz w:val="16"/>
                <w:szCs w:val="16"/>
              </w:rPr>
            </w:pPr>
            <w:r>
              <w:rPr>
                <w:rFonts w:cs="Calibri"/>
                <w:sz w:val="16"/>
                <w:szCs w:val="16"/>
              </w:rPr>
              <w:t>-22.652,57</w:t>
            </w:r>
          </w:p>
        </w:tc>
        <w:tc>
          <w:tcPr>
            <w:tcW w:w="865" w:type="dxa"/>
            <w:tcBorders>
              <w:bottom w:val="single" w:sz="4" w:space="0" w:color="auto"/>
            </w:tcBorders>
            <w:shd w:val="clear" w:color="auto" w:fill="auto"/>
          </w:tcPr>
          <w:p w14:paraId="720EF26F" w14:textId="77777777" w:rsidR="0054307A" w:rsidRDefault="0054307A" w:rsidP="003C7EB4">
            <w:pPr>
              <w:pStyle w:val="Bezproreda"/>
              <w:jc w:val="center"/>
              <w:rPr>
                <w:rFonts w:cs="Calibri"/>
                <w:sz w:val="16"/>
                <w:szCs w:val="16"/>
              </w:rPr>
            </w:pPr>
            <w:r>
              <w:rPr>
                <w:rFonts w:cs="Calibri"/>
                <w:sz w:val="16"/>
                <w:szCs w:val="16"/>
              </w:rPr>
              <w:t>-3.973,06</w:t>
            </w:r>
          </w:p>
        </w:tc>
        <w:tc>
          <w:tcPr>
            <w:tcW w:w="1041" w:type="dxa"/>
            <w:tcBorders>
              <w:bottom w:val="single" w:sz="4" w:space="0" w:color="auto"/>
            </w:tcBorders>
            <w:shd w:val="clear" w:color="auto" w:fill="auto"/>
          </w:tcPr>
          <w:p w14:paraId="42778FC0" w14:textId="77777777" w:rsidR="0054307A" w:rsidRDefault="0054307A" w:rsidP="003C7EB4">
            <w:pPr>
              <w:pStyle w:val="Bezproreda"/>
              <w:jc w:val="center"/>
              <w:rPr>
                <w:rFonts w:cs="Calibri"/>
                <w:sz w:val="16"/>
                <w:szCs w:val="16"/>
              </w:rPr>
            </w:pPr>
            <w:r>
              <w:rPr>
                <w:rFonts w:cs="Calibri"/>
                <w:sz w:val="16"/>
                <w:szCs w:val="16"/>
              </w:rPr>
              <w:t>+1.289,40</w:t>
            </w:r>
          </w:p>
        </w:tc>
        <w:tc>
          <w:tcPr>
            <w:tcW w:w="1120" w:type="dxa"/>
            <w:tcBorders>
              <w:bottom w:val="single" w:sz="4" w:space="0" w:color="auto"/>
            </w:tcBorders>
            <w:shd w:val="clear" w:color="auto" w:fill="auto"/>
          </w:tcPr>
          <w:p w14:paraId="7FD2834D" w14:textId="77777777" w:rsidR="0054307A" w:rsidRDefault="0054307A" w:rsidP="003C7EB4">
            <w:pPr>
              <w:pStyle w:val="Bezproreda"/>
              <w:jc w:val="center"/>
              <w:rPr>
                <w:rFonts w:cs="Calibri"/>
                <w:sz w:val="16"/>
                <w:szCs w:val="16"/>
              </w:rPr>
            </w:pPr>
          </w:p>
        </w:tc>
        <w:tc>
          <w:tcPr>
            <w:tcW w:w="1276" w:type="dxa"/>
            <w:tcBorders>
              <w:bottom w:val="single" w:sz="4" w:space="0" w:color="auto"/>
            </w:tcBorders>
            <w:shd w:val="clear" w:color="auto" w:fill="auto"/>
          </w:tcPr>
          <w:p w14:paraId="4A0416E9" w14:textId="77777777" w:rsidR="0054307A" w:rsidRDefault="0054307A" w:rsidP="003C7EB4">
            <w:pPr>
              <w:jc w:val="center"/>
              <w:rPr>
                <w:rFonts w:ascii="Calibri" w:hAnsi="Calibri" w:cs="Calibri"/>
                <w:sz w:val="16"/>
                <w:szCs w:val="16"/>
              </w:rPr>
            </w:pPr>
            <w:r>
              <w:rPr>
                <w:rFonts w:ascii="Calibri" w:hAnsi="Calibri" w:cs="Calibri"/>
                <w:sz w:val="16"/>
                <w:szCs w:val="16"/>
              </w:rPr>
              <w:t>-216.262,75</w:t>
            </w:r>
          </w:p>
        </w:tc>
      </w:tr>
      <w:tr w:rsidR="0054307A" w14:paraId="5997F345" w14:textId="77777777" w:rsidTr="0054307A">
        <w:tc>
          <w:tcPr>
            <w:tcW w:w="1121" w:type="dxa"/>
            <w:tcBorders>
              <w:bottom w:val="single" w:sz="4" w:space="0" w:color="auto"/>
            </w:tcBorders>
            <w:shd w:val="clear" w:color="auto" w:fill="auto"/>
          </w:tcPr>
          <w:p w14:paraId="1D7AE6EE" w14:textId="77777777" w:rsidR="0054307A" w:rsidRDefault="0054307A" w:rsidP="003C7EB4">
            <w:pPr>
              <w:pStyle w:val="Bezproreda"/>
              <w:jc w:val="center"/>
              <w:rPr>
                <w:rFonts w:cs="Calibri"/>
                <w:sz w:val="16"/>
                <w:szCs w:val="16"/>
              </w:rPr>
            </w:pPr>
            <w:r>
              <w:rPr>
                <w:rFonts w:cs="Calibri"/>
                <w:sz w:val="16"/>
                <w:szCs w:val="16"/>
              </w:rPr>
              <w:t>Rezultat 2022.</w:t>
            </w:r>
          </w:p>
        </w:tc>
        <w:tc>
          <w:tcPr>
            <w:tcW w:w="1084" w:type="dxa"/>
            <w:tcBorders>
              <w:bottom w:val="single" w:sz="4" w:space="0" w:color="auto"/>
            </w:tcBorders>
            <w:shd w:val="clear" w:color="auto" w:fill="auto"/>
          </w:tcPr>
          <w:p w14:paraId="0EF9F17C" w14:textId="77777777" w:rsidR="0054307A" w:rsidRDefault="0054307A" w:rsidP="003C7EB4">
            <w:pPr>
              <w:pStyle w:val="Bezproreda"/>
              <w:jc w:val="center"/>
              <w:rPr>
                <w:rFonts w:cs="Calibri"/>
                <w:sz w:val="16"/>
                <w:szCs w:val="16"/>
              </w:rPr>
            </w:pPr>
            <w:r>
              <w:rPr>
                <w:rFonts w:cs="Calibri"/>
                <w:sz w:val="16"/>
                <w:szCs w:val="16"/>
              </w:rPr>
              <w:t>1.413,02</w:t>
            </w:r>
          </w:p>
        </w:tc>
        <w:tc>
          <w:tcPr>
            <w:tcW w:w="967" w:type="dxa"/>
            <w:tcBorders>
              <w:bottom w:val="single" w:sz="4" w:space="0" w:color="auto"/>
            </w:tcBorders>
            <w:shd w:val="clear" w:color="auto" w:fill="auto"/>
          </w:tcPr>
          <w:p w14:paraId="25B1DE4B" w14:textId="77777777" w:rsidR="0054307A" w:rsidRDefault="0054307A" w:rsidP="003C7EB4">
            <w:pPr>
              <w:pStyle w:val="Bezproreda"/>
              <w:jc w:val="center"/>
              <w:rPr>
                <w:rFonts w:cs="Calibri"/>
                <w:sz w:val="16"/>
                <w:szCs w:val="16"/>
              </w:rPr>
            </w:pPr>
            <w:r>
              <w:rPr>
                <w:rFonts w:cs="Calibri"/>
                <w:sz w:val="16"/>
                <w:szCs w:val="16"/>
              </w:rPr>
              <w:t>23.185,92</w:t>
            </w:r>
          </w:p>
        </w:tc>
        <w:tc>
          <w:tcPr>
            <w:tcW w:w="984" w:type="dxa"/>
            <w:tcBorders>
              <w:bottom w:val="single" w:sz="4" w:space="0" w:color="auto"/>
            </w:tcBorders>
            <w:shd w:val="clear" w:color="auto" w:fill="auto"/>
          </w:tcPr>
          <w:p w14:paraId="33A99839" w14:textId="77777777" w:rsidR="0054307A" w:rsidRDefault="0054307A" w:rsidP="003C7EB4">
            <w:pPr>
              <w:pStyle w:val="Bezproreda"/>
              <w:jc w:val="center"/>
              <w:rPr>
                <w:rFonts w:cs="Calibri"/>
                <w:sz w:val="16"/>
                <w:szCs w:val="16"/>
              </w:rPr>
            </w:pPr>
            <w:r>
              <w:rPr>
                <w:rFonts w:cs="Calibri"/>
                <w:sz w:val="16"/>
                <w:szCs w:val="16"/>
              </w:rPr>
              <w:t>47.724,21</w:t>
            </w:r>
          </w:p>
        </w:tc>
        <w:tc>
          <w:tcPr>
            <w:tcW w:w="1148" w:type="dxa"/>
            <w:tcBorders>
              <w:bottom w:val="single" w:sz="4" w:space="0" w:color="auto"/>
            </w:tcBorders>
            <w:shd w:val="clear" w:color="auto" w:fill="auto"/>
          </w:tcPr>
          <w:p w14:paraId="0C41864C" w14:textId="77777777" w:rsidR="0054307A" w:rsidRDefault="0054307A" w:rsidP="003C7EB4">
            <w:pPr>
              <w:pStyle w:val="Bezproreda"/>
              <w:jc w:val="center"/>
              <w:rPr>
                <w:rFonts w:cs="Calibri"/>
                <w:sz w:val="16"/>
                <w:szCs w:val="16"/>
              </w:rPr>
            </w:pPr>
            <w:r>
              <w:rPr>
                <w:rFonts w:cs="Calibri"/>
                <w:sz w:val="16"/>
                <w:szCs w:val="16"/>
              </w:rPr>
              <w:t>25.927,07</w:t>
            </w:r>
          </w:p>
        </w:tc>
        <w:tc>
          <w:tcPr>
            <w:tcW w:w="865" w:type="dxa"/>
            <w:tcBorders>
              <w:bottom w:val="single" w:sz="4" w:space="0" w:color="auto"/>
            </w:tcBorders>
            <w:shd w:val="clear" w:color="auto" w:fill="auto"/>
          </w:tcPr>
          <w:p w14:paraId="48C9BEF1" w14:textId="77777777" w:rsidR="0054307A" w:rsidRDefault="0054307A" w:rsidP="003C7EB4">
            <w:pPr>
              <w:pStyle w:val="Bezproreda"/>
              <w:jc w:val="center"/>
              <w:rPr>
                <w:rFonts w:cs="Calibri"/>
                <w:sz w:val="16"/>
                <w:szCs w:val="16"/>
              </w:rPr>
            </w:pPr>
            <w:r>
              <w:rPr>
                <w:rFonts w:cs="Calibri"/>
                <w:sz w:val="16"/>
                <w:szCs w:val="16"/>
              </w:rPr>
              <w:t>6.968,59</w:t>
            </w:r>
          </w:p>
        </w:tc>
        <w:tc>
          <w:tcPr>
            <w:tcW w:w="1041" w:type="dxa"/>
            <w:tcBorders>
              <w:bottom w:val="single" w:sz="4" w:space="0" w:color="auto"/>
            </w:tcBorders>
            <w:shd w:val="clear" w:color="auto" w:fill="auto"/>
          </w:tcPr>
          <w:p w14:paraId="7EAEF944" w14:textId="77777777" w:rsidR="0054307A" w:rsidRDefault="0054307A" w:rsidP="003C7EB4">
            <w:pPr>
              <w:pStyle w:val="Bezproreda"/>
              <w:jc w:val="center"/>
              <w:rPr>
                <w:rFonts w:cs="Calibri"/>
                <w:sz w:val="16"/>
                <w:szCs w:val="16"/>
              </w:rPr>
            </w:pPr>
            <w:r>
              <w:rPr>
                <w:rFonts w:cs="Calibri"/>
                <w:sz w:val="16"/>
                <w:szCs w:val="16"/>
              </w:rPr>
              <w:t>0,00</w:t>
            </w:r>
          </w:p>
        </w:tc>
        <w:tc>
          <w:tcPr>
            <w:tcW w:w="1120" w:type="dxa"/>
            <w:tcBorders>
              <w:bottom w:val="single" w:sz="4" w:space="0" w:color="auto"/>
            </w:tcBorders>
            <w:shd w:val="clear" w:color="auto" w:fill="auto"/>
          </w:tcPr>
          <w:p w14:paraId="199D9E1E" w14:textId="77777777" w:rsidR="0054307A" w:rsidRDefault="0054307A" w:rsidP="003C7EB4">
            <w:pPr>
              <w:pStyle w:val="Bezproreda"/>
              <w:jc w:val="center"/>
              <w:rPr>
                <w:rFonts w:cs="Calibri"/>
                <w:sz w:val="16"/>
                <w:szCs w:val="16"/>
              </w:rPr>
            </w:pPr>
            <w:r>
              <w:rPr>
                <w:rFonts w:cs="Calibri"/>
                <w:sz w:val="16"/>
                <w:szCs w:val="16"/>
              </w:rPr>
              <w:t>-7.700,00</w:t>
            </w:r>
          </w:p>
        </w:tc>
        <w:tc>
          <w:tcPr>
            <w:tcW w:w="1276" w:type="dxa"/>
            <w:tcBorders>
              <w:bottom w:val="single" w:sz="4" w:space="0" w:color="auto"/>
            </w:tcBorders>
            <w:shd w:val="clear" w:color="auto" w:fill="auto"/>
          </w:tcPr>
          <w:p w14:paraId="4EC7947A" w14:textId="77777777" w:rsidR="0054307A" w:rsidRDefault="0054307A" w:rsidP="003C7EB4">
            <w:pPr>
              <w:jc w:val="center"/>
              <w:rPr>
                <w:rFonts w:ascii="Calibri" w:hAnsi="Calibri" w:cs="Calibri"/>
                <w:sz w:val="16"/>
                <w:szCs w:val="16"/>
              </w:rPr>
            </w:pPr>
            <w:r>
              <w:rPr>
                <w:rFonts w:ascii="Calibri" w:hAnsi="Calibri" w:cs="Calibri"/>
                <w:sz w:val="16"/>
                <w:szCs w:val="16"/>
              </w:rPr>
              <w:t>97.518,81</w:t>
            </w:r>
          </w:p>
        </w:tc>
      </w:tr>
      <w:tr w:rsidR="0054307A" w14:paraId="1C84EEBF" w14:textId="77777777" w:rsidTr="0054307A">
        <w:tc>
          <w:tcPr>
            <w:tcW w:w="7210" w:type="dxa"/>
            <w:gridSpan w:val="7"/>
            <w:vMerge w:val="restart"/>
            <w:tcBorders>
              <w:top w:val="single" w:sz="4" w:space="0" w:color="auto"/>
              <w:left w:val="nil"/>
              <w:right w:val="single" w:sz="4" w:space="0" w:color="auto"/>
            </w:tcBorders>
            <w:shd w:val="clear" w:color="auto" w:fill="auto"/>
          </w:tcPr>
          <w:p w14:paraId="355C8DEF" w14:textId="77777777" w:rsidR="0054307A" w:rsidRDefault="0054307A" w:rsidP="003C7EB4">
            <w:pPr>
              <w:pStyle w:val="Bezproreda"/>
              <w:jc w:val="center"/>
              <w:rPr>
                <w:rFonts w:cs="Calibri"/>
                <w:sz w:val="16"/>
                <w:szCs w:val="16"/>
              </w:rPr>
            </w:pPr>
          </w:p>
        </w:tc>
        <w:tc>
          <w:tcPr>
            <w:tcW w:w="1120" w:type="dxa"/>
            <w:tcBorders>
              <w:top w:val="single" w:sz="4" w:space="0" w:color="auto"/>
              <w:left w:val="single" w:sz="4" w:space="0" w:color="auto"/>
              <w:bottom w:val="single" w:sz="4" w:space="0" w:color="auto"/>
            </w:tcBorders>
            <w:shd w:val="clear" w:color="auto" w:fill="auto"/>
          </w:tcPr>
          <w:p w14:paraId="3ABDEAEF" w14:textId="77777777" w:rsidR="0054307A" w:rsidRDefault="0054307A" w:rsidP="003C7EB4">
            <w:pPr>
              <w:pStyle w:val="Bezproreda"/>
              <w:jc w:val="center"/>
              <w:rPr>
                <w:rFonts w:cs="Calibri"/>
                <w:sz w:val="16"/>
                <w:szCs w:val="16"/>
              </w:rPr>
            </w:pPr>
            <w:r>
              <w:rPr>
                <w:rFonts w:cs="Calibri"/>
                <w:sz w:val="16"/>
                <w:szCs w:val="16"/>
              </w:rPr>
              <w:t>Preneseni manjak 2021.</w:t>
            </w:r>
          </w:p>
        </w:tc>
        <w:tc>
          <w:tcPr>
            <w:tcW w:w="1276" w:type="dxa"/>
            <w:tcBorders>
              <w:bottom w:val="single" w:sz="4" w:space="0" w:color="auto"/>
            </w:tcBorders>
            <w:shd w:val="clear" w:color="auto" w:fill="auto"/>
          </w:tcPr>
          <w:p w14:paraId="22EA95E3" w14:textId="77777777" w:rsidR="0054307A" w:rsidRDefault="0054307A" w:rsidP="003C7EB4">
            <w:pPr>
              <w:jc w:val="center"/>
              <w:rPr>
                <w:rFonts w:ascii="Calibri" w:hAnsi="Calibri" w:cs="Calibri"/>
                <w:sz w:val="16"/>
                <w:szCs w:val="16"/>
              </w:rPr>
            </w:pPr>
            <w:r>
              <w:rPr>
                <w:rFonts w:ascii="Calibri" w:hAnsi="Calibri" w:cs="Calibri"/>
                <w:sz w:val="16"/>
                <w:szCs w:val="16"/>
              </w:rPr>
              <w:t>-570,84</w:t>
            </w:r>
          </w:p>
        </w:tc>
      </w:tr>
      <w:tr w:rsidR="0054307A" w14:paraId="138732D5" w14:textId="77777777" w:rsidTr="0054307A">
        <w:tc>
          <w:tcPr>
            <w:tcW w:w="7210" w:type="dxa"/>
            <w:gridSpan w:val="7"/>
            <w:vMerge/>
            <w:tcBorders>
              <w:left w:val="nil"/>
              <w:right w:val="single" w:sz="4" w:space="0" w:color="auto"/>
            </w:tcBorders>
            <w:shd w:val="clear" w:color="auto" w:fill="auto"/>
          </w:tcPr>
          <w:p w14:paraId="32C7E197" w14:textId="77777777" w:rsidR="0054307A" w:rsidRDefault="0054307A" w:rsidP="003C7EB4">
            <w:pPr>
              <w:pStyle w:val="Bezproreda"/>
              <w:jc w:val="center"/>
              <w:rPr>
                <w:rFonts w:cs="Calibri"/>
                <w:sz w:val="16"/>
                <w:szCs w:val="16"/>
              </w:rPr>
            </w:pPr>
          </w:p>
        </w:tc>
        <w:tc>
          <w:tcPr>
            <w:tcW w:w="1120" w:type="dxa"/>
            <w:tcBorders>
              <w:top w:val="single" w:sz="4" w:space="0" w:color="auto"/>
              <w:left w:val="single" w:sz="4" w:space="0" w:color="auto"/>
              <w:bottom w:val="single" w:sz="4" w:space="0" w:color="auto"/>
            </w:tcBorders>
            <w:shd w:val="clear" w:color="auto" w:fill="auto"/>
          </w:tcPr>
          <w:p w14:paraId="39262D48" w14:textId="77777777" w:rsidR="0054307A" w:rsidRDefault="0054307A" w:rsidP="003C7EB4">
            <w:pPr>
              <w:pStyle w:val="Bezproreda"/>
              <w:jc w:val="center"/>
              <w:rPr>
                <w:rFonts w:cs="Calibri"/>
                <w:sz w:val="16"/>
                <w:szCs w:val="16"/>
              </w:rPr>
            </w:pPr>
            <w:r>
              <w:rPr>
                <w:rFonts w:cs="Calibri"/>
                <w:sz w:val="16"/>
                <w:szCs w:val="16"/>
              </w:rPr>
              <w:t>Rezultat poslovanja</w:t>
            </w:r>
          </w:p>
        </w:tc>
        <w:tc>
          <w:tcPr>
            <w:tcW w:w="1276" w:type="dxa"/>
            <w:tcBorders>
              <w:bottom w:val="single" w:sz="4" w:space="0" w:color="auto"/>
            </w:tcBorders>
            <w:shd w:val="clear" w:color="auto" w:fill="auto"/>
          </w:tcPr>
          <w:p w14:paraId="08A3EB51" w14:textId="77777777" w:rsidR="0054307A" w:rsidRDefault="0054307A" w:rsidP="003C7EB4">
            <w:pPr>
              <w:jc w:val="center"/>
              <w:rPr>
                <w:rFonts w:ascii="Calibri" w:hAnsi="Calibri" w:cs="Calibri"/>
                <w:sz w:val="16"/>
                <w:szCs w:val="16"/>
              </w:rPr>
            </w:pPr>
            <w:r>
              <w:rPr>
                <w:rFonts w:ascii="Calibri" w:hAnsi="Calibri" w:cs="Calibri"/>
                <w:sz w:val="16"/>
                <w:szCs w:val="16"/>
              </w:rPr>
              <w:t>96.947,97</w:t>
            </w:r>
          </w:p>
        </w:tc>
      </w:tr>
      <w:tr w:rsidR="0054307A" w14:paraId="1419E8CD" w14:textId="77777777" w:rsidTr="0054307A">
        <w:tc>
          <w:tcPr>
            <w:tcW w:w="7210" w:type="dxa"/>
            <w:gridSpan w:val="7"/>
            <w:vMerge/>
            <w:tcBorders>
              <w:left w:val="nil"/>
              <w:bottom w:val="nil"/>
              <w:right w:val="nil"/>
            </w:tcBorders>
            <w:shd w:val="clear" w:color="auto" w:fill="auto"/>
          </w:tcPr>
          <w:p w14:paraId="44B5D5E4" w14:textId="77777777" w:rsidR="0054307A" w:rsidRPr="00A81FD2" w:rsidRDefault="0054307A" w:rsidP="003C7EB4">
            <w:pPr>
              <w:pStyle w:val="Bezproreda"/>
              <w:jc w:val="center"/>
              <w:rPr>
                <w:sz w:val="18"/>
                <w:szCs w:val="18"/>
              </w:rPr>
            </w:pPr>
          </w:p>
        </w:tc>
        <w:tc>
          <w:tcPr>
            <w:tcW w:w="2396" w:type="dxa"/>
            <w:gridSpan w:val="2"/>
            <w:tcBorders>
              <w:top w:val="single" w:sz="4" w:space="0" w:color="auto"/>
              <w:left w:val="nil"/>
              <w:bottom w:val="nil"/>
              <w:right w:val="nil"/>
            </w:tcBorders>
            <w:shd w:val="clear" w:color="auto" w:fill="auto"/>
          </w:tcPr>
          <w:p w14:paraId="0EDB74BB" w14:textId="1E426F2F" w:rsidR="000233E9" w:rsidRDefault="000233E9" w:rsidP="003C7EB4"/>
        </w:tc>
      </w:tr>
    </w:tbl>
    <w:p w14:paraId="321B3E83" w14:textId="5605CCF0" w:rsidR="000233E9" w:rsidRDefault="000233E9" w:rsidP="0054307A">
      <w:pPr>
        <w:pStyle w:val="Bezproreda"/>
      </w:pPr>
      <w:r>
        <w:t>Izvor financiranja- Opći prihodi i primici- višak 1.413,02 odnosi se na sredstva primljena za školsku shemu voća i u narednom periodu koristit će se za financiranje nabave voća.</w:t>
      </w:r>
    </w:p>
    <w:p w14:paraId="5A668CAC" w14:textId="1592592E" w:rsidR="000233E9" w:rsidRDefault="000233E9" w:rsidP="0054307A">
      <w:pPr>
        <w:pStyle w:val="Bezproreda"/>
      </w:pPr>
      <w:r>
        <w:t xml:space="preserve">Izvor financiranja –Vlastiti prihodi- višak 23.185,92 odnosi se na prihode od iznajmljivanja školskog prostora i koristit će se narednom periodu za nabavu nove opreme potrebne za poboljšanje uvjeta rada. </w:t>
      </w:r>
    </w:p>
    <w:p w14:paraId="2A73EC4A" w14:textId="46EC2577" w:rsidR="000233E9" w:rsidRDefault="000233E9" w:rsidP="0054307A">
      <w:pPr>
        <w:pStyle w:val="Bezproreda"/>
      </w:pPr>
      <w:r>
        <w:t xml:space="preserve">Izvor financiranja-Prihodi za posebne namjene-višak 47.724,21 odnosi se na višak od školske kuhinje te će se u narednom periodu koristiti za financiranje nabave </w:t>
      </w:r>
      <w:r w:rsidR="00517297">
        <w:t>materijala</w:t>
      </w:r>
      <w:r w:rsidR="006A78F8">
        <w:t xml:space="preserve"> i</w:t>
      </w:r>
      <w:r w:rsidR="00517297">
        <w:t xml:space="preserve"> </w:t>
      </w:r>
      <w:r>
        <w:t>opreme potrebne za rad i funkcioniranje školskih kuhinja.</w:t>
      </w:r>
    </w:p>
    <w:p w14:paraId="5553680F" w14:textId="23663EE5" w:rsidR="00517297" w:rsidRDefault="00517297" w:rsidP="0054307A">
      <w:pPr>
        <w:pStyle w:val="Bezproreda"/>
      </w:pPr>
      <w:r>
        <w:t xml:space="preserve">Izvor financiranja-Pomoći- višak </w:t>
      </w:r>
      <w:r w:rsidR="006A78F8">
        <w:t xml:space="preserve">25.927,07 kuna </w:t>
      </w:r>
      <w:r>
        <w:t>je ostvaren u tekućoj godini zbog doznačenih sredstava za Covid testiranje radnika i pravomoćnu sudsku presudu za koje su rashodi prikazani u 2021. godini.</w:t>
      </w:r>
    </w:p>
    <w:p w14:paraId="5C91C7ED" w14:textId="6D35119E" w:rsidR="00517297" w:rsidRDefault="00517297" w:rsidP="0054307A">
      <w:pPr>
        <w:pStyle w:val="Bezproreda"/>
      </w:pPr>
      <w:r>
        <w:t>Izvor financiranja-Donacije-višak u iznosu 6.968,59 kuna je ostvaren od primljenih donacija od Adriatic osiguranja za nabavu nove opreme potrebne za poboljšanje uvjeta rada te od Gradskog društva Crvenog Križa od prikupljanja solidarnosti.</w:t>
      </w:r>
    </w:p>
    <w:p w14:paraId="27F1BD75" w14:textId="76D5476C" w:rsidR="00517297" w:rsidRDefault="00517297" w:rsidP="0054307A">
      <w:pPr>
        <w:pStyle w:val="Bezproreda"/>
      </w:pPr>
      <w:r>
        <w:t xml:space="preserve">Izvor financiranja-Višak prihoda- </w:t>
      </w:r>
      <w:r w:rsidR="006A78F8">
        <w:t>prikazan je iznos manjka od 7.700,00 kuna-</w:t>
      </w:r>
      <w:r>
        <w:t>obzirom da je prethodne godine ostvaren metodološki manjak, a škola je imala</w:t>
      </w:r>
      <w:r w:rsidR="00302E4D">
        <w:t xml:space="preserve"> od</w:t>
      </w:r>
      <w:r w:rsidR="006A78F8">
        <w:t xml:space="preserve"> 2019. godini</w:t>
      </w:r>
      <w:r>
        <w:t xml:space="preserve"> </w:t>
      </w:r>
      <w:r w:rsidR="006A78F8">
        <w:t>prikupljene donacije za maturalno putovanje koje zbog epidemije Covid 19  nij</w:t>
      </w:r>
      <w:r w:rsidR="00302E4D">
        <w:t>e realizirano do 2022. godine, i</w:t>
      </w:r>
      <w:r w:rsidR="006A78F8">
        <w:t>znos je pokriven viškom prihoda od sredstava koja su dobivena u 2022. godini za troškove nastale u 2021.</w:t>
      </w:r>
    </w:p>
    <w:p w14:paraId="24B892AD" w14:textId="77777777" w:rsidR="006A78F8" w:rsidRDefault="006A78F8" w:rsidP="0054307A">
      <w:pPr>
        <w:pStyle w:val="Bezproreda"/>
      </w:pPr>
    </w:p>
    <w:p w14:paraId="6EBFC8B2" w14:textId="2279D256" w:rsidR="0054307A" w:rsidRDefault="00346368" w:rsidP="0054307A">
      <w:pPr>
        <w:pStyle w:val="Bezproreda"/>
      </w:pPr>
      <w:r>
        <w:t>U</w:t>
      </w:r>
      <w:r w:rsidR="0054307A">
        <w:t>kupno ostvareni rezultat poslovanja</w:t>
      </w:r>
      <w:r w:rsidR="00F26A71">
        <w:t xml:space="preserve"> koji se prenosi u 2023. godinu</w:t>
      </w:r>
      <w:r w:rsidR="0054307A">
        <w:t xml:space="preserve"> je višak prihoda u iznosu 96.947,97 kuna koji će se koristiti za nabavu nove opreme potrebne za poboljšanje uvjeta rada. </w:t>
      </w:r>
    </w:p>
    <w:p w14:paraId="17C086A8" w14:textId="77777777" w:rsidR="00381DB5" w:rsidRDefault="00381DB5" w:rsidP="0054307A">
      <w:pPr>
        <w:pStyle w:val="Bezproreda"/>
      </w:pPr>
    </w:p>
    <w:p w14:paraId="70A8FD1B" w14:textId="3A62AAA9" w:rsidR="005B5FDD" w:rsidRDefault="005B5FDD" w:rsidP="00860251">
      <w:pPr>
        <w:pStyle w:val="Bezproreda"/>
      </w:pPr>
    </w:p>
    <w:p w14:paraId="29334780" w14:textId="77777777" w:rsidR="009E63B8" w:rsidRPr="00E07FF7" w:rsidRDefault="009E63B8" w:rsidP="009E63B8">
      <w:pPr>
        <w:pStyle w:val="Odlomakpopisa"/>
        <w:numPr>
          <w:ilvl w:val="0"/>
          <w:numId w:val="1"/>
        </w:numPr>
        <w:rPr>
          <w:b/>
        </w:rPr>
      </w:pPr>
      <w:r w:rsidRPr="00E07FF7">
        <w:rPr>
          <w:b/>
        </w:rPr>
        <w:lastRenderedPageBreak/>
        <w:t>Bilješke uz izvještaj o promjenama u vrijednosti i obujmu imovine i obveza</w:t>
      </w:r>
    </w:p>
    <w:p w14:paraId="2F4ACBD9" w14:textId="7A315C82" w:rsidR="009E63B8" w:rsidRDefault="001303E5" w:rsidP="009E63B8">
      <w:r w:rsidRPr="00B568CE">
        <w:rPr>
          <w:u w:val="single"/>
        </w:rPr>
        <w:t xml:space="preserve">Bilješka broj  </w:t>
      </w:r>
      <w:r w:rsidR="00E01A47">
        <w:rPr>
          <w:u w:val="single"/>
        </w:rPr>
        <w:t>62</w:t>
      </w:r>
      <w:r w:rsidR="00B56E26">
        <w:t xml:space="preserve"> </w:t>
      </w:r>
      <w:r w:rsidR="0048221B">
        <w:t>–</w:t>
      </w:r>
      <w:r w:rsidR="00DA361F">
        <w:t xml:space="preserve"> </w:t>
      </w:r>
      <w:r w:rsidR="00761D8C">
        <w:t>zabilježen je iznos povećanja</w:t>
      </w:r>
      <w:r w:rsidR="00192B08">
        <w:t xml:space="preserve"> na poziciji P018 Proizvedena dugotrajna imovina</w:t>
      </w:r>
      <w:r w:rsidR="00761D8C">
        <w:t xml:space="preserve"> zbog prijenosa nefinancijske imovine-</w:t>
      </w:r>
      <w:r w:rsidR="002B3D28">
        <w:t xml:space="preserve"> spremnika</w:t>
      </w:r>
      <w:r w:rsidR="00FA375D">
        <w:t xml:space="preserve"> za odvojeno prikupljanje otpada u obliku životinja</w:t>
      </w:r>
      <w:r w:rsidR="00761D8C">
        <w:t xml:space="preserve">, od strane Grada Krapine u vlasništvo OŠ „Ljudevit Gaj“  i to u iznosu </w:t>
      </w:r>
      <w:r w:rsidR="00346368">
        <w:t>23.887,50</w:t>
      </w:r>
      <w:r w:rsidR="00761D8C">
        <w:t xml:space="preserve"> kn.</w:t>
      </w:r>
    </w:p>
    <w:p w14:paraId="637B0F35" w14:textId="77777777" w:rsidR="001303E5" w:rsidRPr="00FA375D" w:rsidRDefault="001303E5" w:rsidP="001303E5">
      <w:pPr>
        <w:pStyle w:val="Odlomakpopisa"/>
        <w:numPr>
          <w:ilvl w:val="0"/>
          <w:numId w:val="1"/>
        </w:numPr>
        <w:rPr>
          <w:b/>
        </w:rPr>
      </w:pPr>
      <w:r w:rsidRPr="00FA375D">
        <w:rPr>
          <w:b/>
        </w:rPr>
        <w:t>Bilješke uz Izvještaj o obvezama</w:t>
      </w:r>
    </w:p>
    <w:p w14:paraId="03035A1F" w14:textId="1AB49AC8" w:rsidR="001303E5" w:rsidRPr="00FA375D" w:rsidRDefault="001303E5" w:rsidP="003A5EBF">
      <w:pPr>
        <w:pStyle w:val="Bezproreda"/>
      </w:pPr>
      <w:r w:rsidRPr="00FA375D">
        <w:rPr>
          <w:u w:val="single"/>
        </w:rPr>
        <w:t xml:space="preserve">Bilješka broj  </w:t>
      </w:r>
      <w:r w:rsidR="00FA375D">
        <w:rPr>
          <w:u w:val="single"/>
        </w:rPr>
        <w:t>63</w:t>
      </w:r>
      <w:r w:rsidR="00B56E26" w:rsidRPr="00FA375D">
        <w:t xml:space="preserve"> </w:t>
      </w:r>
      <w:r w:rsidR="00DA361F" w:rsidRPr="00FA375D">
        <w:t xml:space="preserve">– </w:t>
      </w:r>
      <w:r w:rsidR="00D75E3E">
        <w:t>V</w:t>
      </w:r>
      <w:r w:rsidR="00EC433C" w:rsidRPr="00FA375D">
        <w:t>0</w:t>
      </w:r>
      <w:r w:rsidR="000C4545" w:rsidRPr="00FA375D">
        <w:t>01</w:t>
      </w:r>
      <w:r w:rsidR="00D75E3E">
        <w:t>-</w:t>
      </w:r>
      <w:r w:rsidR="00EC433C" w:rsidRPr="00FA375D">
        <w:t xml:space="preserve"> S</w:t>
      </w:r>
      <w:r w:rsidRPr="00FA375D">
        <w:t>tanje obveza</w:t>
      </w:r>
      <w:r w:rsidR="005C272E" w:rsidRPr="00FA375D">
        <w:t xml:space="preserve"> 1.siječnja</w:t>
      </w:r>
      <w:r w:rsidR="00D767A8" w:rsidRPr="00FA375D">
        <w:t>-</w:t>
      </w:r>
      <w:r w:rsidR="005C272E" w:rsidRPr="00FA375D">
        <w:t xml:space="preserve">  </w:t>
      </w:r>
      <w:r w:rsidR="00D75E3E">
        <w:t>957.917,52</w:t>
      </w:r>
      <w:r w:rsidR="00B1330D" w:rsidRPr="00FA375D">
        <w:t xml:space="preserve"> kuna</w:t>
      </w:r>
      <w:r w:rsidR="00D75E3E">
        <w:t>,</w:t>
      </w:r>
      <w:r w:rsidR="005C272E" w:rsidRPr="00FA375D">
        <w:t xml:space="preserve"> odnosi se na plaću i naknade za prosinac 20</w:t>
      </w:r>
      <w:r w:rsidR="00D75E3E">
        <w:t>2</w:t>
      </w:r>
      <w:r w:rsidR="001259AC">
        <w:t>1</w:t>
      </w:r>
      <w:r w:rsidR="005C272E" w:rsidRPr="00FA375D">
        <w:t xml:space="preserve">. te na </w:t>
      </w:r>
      <w:r w:rsidR="00860251" w:rsidRPr="00FA375D">
        <w:t>troškove</w:t>
      </w:r>
      <w:r w:rsidR="001259AC">
        <w:t xml:space="preserve"> poslovanja</w:t>
      </w:r>
      <w:r w:rsidR="00860251" w:rsidRPr="00FA375D">
        <w:t xml:space="preserve"> iz prosinca 20</w:t>
      </w:r>
      <w:r w:rsidR="00761D8C" w:rsidRPr="00FA375D">
        <w:t>2</w:t>
      </w:r>
      <w:r w:rsidR="001259AC">
        <w:t>1</w:t>
      </w:r>
      <w:r w:rsidR="005C272E" w:rsidRPr="00FA375D">
        <w:t xml:space="preserve">. za koje su računi zaprimljeni </w:t>
      </w:r>
      <w:r w:rsidR="005B512B" w:rsidRPr="00FA375D">
        <w:t xml:space="preserve">i podmireni </w:t>
      </w:r>
      <w:r w:rsidR="005C272E" w:rsidRPr="00FA375D">
        <w:t>u siječnju 20</w:t>
      </w:r>
      <w:r w:rsidR="00B1330D" w:rsidRPr="00FA375D">
        <w:t>2</w:t>
      </w:r>
      <w:r w:rsidR="001259AC">
        <w:t>2</w:t>
      </w:r>
      <w:r w:rsidR="005C272E" w:rsidRPr="00FA375D">
        <w:t xml:space="preserve">. </w:t>
      </w:r>
    </w:p>
    <w:p w14:paraId="32A50006" w14:textId="6C117CA5" w:rsidR="00275D3A" w:rsidRPr="00FA375D" w:rsidRDefault="001303E5" w:rsidP="00EF2CE5">
      <w:pPr>
        <w:pStyle w:val="Bezproreda"/>
      </w:pPr>
      <w:r w:rsidRPr="00FA375D">
        <w:rPr>
          <w:u w:val="single"/>
        </w:rPr>
        <w:t xml:space="preserve">Bilješka broj </w:t>
      </w:r>
      <w:r w:rsidR="00D75E3E">
        <w:rPr>
          <w:u w:val="single"/>
        </w:rPr>
        <w:t>64</w:t>
      </w:r>
      <w:r w:rsidR="00DA361F" w:rsidRPr="00FA375D">
        <w:t xml:space="preserve"> </w:t>
      </w:r>
      <w:r w:rsidRPr="00FA375D">
        <w:t>–</w:t>
      </w:r>
      <w:r w:rsidR="00D75E3E">
        <w:t>V006</w:t>
      </w:r>
      <w:r w:rsidR="00D767A8" w:rsidRPr="00FA375D">
        <w:t>-</w:t>
      </w:r>
      <w:r w:rsidRPr="00FA375D">
        <w:t xml:space="preserve"> Stanje </w:t>
      </w:r>
      <w:r w:rsidR="00D56B19" w:rsidRPr="00FA375D">
        <w:t>obveza na kraju izvješ</w:t>
      </w:r>
      <w:r w:rsidR="002C59C5" w:rsidRPr="00FA375D">
        <w:t xml:space="preserve">tajnog razdoblja iznosi ukupno </w:t>
      </w:r>
      <w:r w:rsidR="00D75E3E">
        <w:t>998.805,02</w:t>
      </w:r>
      <w:r w:rsidR="00D56B19" w:rsidRPr="00FA375D">
        <w:t xml:space="preserve"> kuna, </w:t>
      </w:r>
      <w:r w:rsidR="00761D8C" w:rsidRPr="00FA375D">
        <w:t xml:space="preserve">sve </w:t>
      </w:r>
      <w:r w:rsidR="00D56B19" w:rsidRPr="00FA375D">
        <w:t>nedospjele obveze</w:t>
      </w:r>
      <w:r w:rsidR="00761D8C" w:rsidRPr="00FA375D">
        <w:t xml:space="preserve">, i to </w:t>
      </w:r>
      <w:r w:rsidR="00D75E3E">
        <w:t>839.369,25</w:t>
      </w:r>
      <w:r w:rsidR="00D56B19" w:rsidRPr="00FA375D">
        <w:t xml:space="preserve"> </w:t>
      </w:r>
      <w:r w:rsidR="00D767A8" w:rsidRPr="00FA375D">
        <w:t xml:space="preserve"> kuna </w:t>
      </w:r>
      <w:r w:rsidR="00D56B19" w:rsidRPr="00FA375D">
        <w:t xml:space="preserve">za </w:t>
      </w:r>
      <w:r w:rsidR="00D71BB9" w:rsidRPr="00FA375D">
        <w:t xml:space="preserve">rashode za zaposlene </w:t>
      </w:r>
      <w:r w:rsidR="00275D3A" w:rsidRPr="00FA375D">
        <w:t>(</w:t>
      </w:r>
      <w:r w:rsidR="002C59C5" w:rsidRPr="00FA375D">
        <w:t>isplaćen</w:t>
      </w:r>
      <w:r w:rsidR="00D71BB9" w:rsidRPr="00FA375D">
        <w:t>o</w:t>
      </w:r>
      <w:r w:rsidR="002C59C5" w:rsidRPr="00FA375D">
        <w:t xml:space="preserve"> 1</w:t>
      </w:r>
      <w:r w:rsidR="00761D8C" w:rsidRPr="00FA375D">
        <w:t>0</w:t>
      </w:r>
      <w:r w:rsidR="002C59C5" w:rsidRPr="00FA375D">
        <w:t>.01.202</w:t>
      </w:r>
      <w:r w:rsidR="00D75E3E">
        <w:t>3</w:t>
      </w:r>
      <w:r w:rsidR="00D56B19" w:rsidRPr="00FA375D">
        <w:t>.)</w:t>
      </w:r>
      <w:r w:rsidR="00D71BB9" w:rsidRPr="00FA375D">
        <w:t>,</w:t>
      </w:r>
      <w:r w:rsidR="00D56B19" w:rsidRPr="00FA375D">
        <w:t xml:space="preserve"> </w:t>
      </w:r>
      <w:r w:rsidR="0054693E" w:rsidRPr="00FA375D">
        <w:t>6</w:t>
      </w:r>
      <w:r w:rsidR="00D75E3E">
        <w:t>3.676,71</w:t>
      </w:r>
      <w:r w:rsidR="00D71BB9" w:rsidRPr="00FA375D">
        <w:t xml:space="preserve"> kn za </w:t>
      </w:r>
      <w:r w:rsidR="00D56B19" w:rsidRPr="00FA375D">
        <w:t>materijalne rashode poslovanja</w:t>
      </w:r>
      <w:r w:rsidR="00B10F7D" w:rsidRPr="00FA375D">
        <w:t>,</w:t>
      </w:r>
      <w:r w:rsidR="00D71BB9" w:rsidRPr="00FA375D">
        <w:t xml:space="preserve"> </w:t>
      </w:r>
      <w:r w:rsidR="00D75E3E">
        <w:t xml:space="preserve">1.317,60 </w:t>
      </w:r>
      <w:r w:rsidR="00D71BB9" w:rsidRPr="00FA375D">
        <w:t>kn za financijske rashode</w:t>
      </w:r>
      <w:r w:rsidR="00DE2368">
        <w:t>.</w:t>
      </w:r>
      <w:r w:rsidR="0054693E" w:rsidRPr="00FA375D">
        <w:t xml:space="preserve"> </w:t>
      </w:r>
      <w:r w:rsidR="005B512B" w:rsidRPr="00FA375D">
        <w:t xml:space="preserve">Svi računi i obveze podmireni su </w:t>
      </w:r>
      <w:r w:rsidR="0054693E" w:rsidRPr="00FA375D">
        <w:t>do kraja siječnja</w:t>
      </w:r>
      <w:r w:rsidR="0024466D" w:rsidRPr="00FA375D">
        <w:t xml:space="preserve"> </w:t>
      </w:r>
      <w:r w:rsidR="00B27E6C" w:rsidRPr="00FA375D">
        <w:t>202</w:t>
      </w:r>
      <w:r w:rsidR="00D75E3E">
        <w:t>3</w:t>
      </w:r>
      <w:r w:rsidR="005B512B" w:rsidRPr="00FA375D">
        <w:t>.</w:t>
      </w:r>
      <w:r w:rsidR="0024466D" w:rsidRPr="00FA375D">
        <w:t xml:space="preserve"> godini</w:t>
      </w:r>
      <w:r w:rsidR="00BB62AD" w:rsidRPr="00FA375D">
        <w:t>.</w:t>
      </w:r>
    </w:p>
    <w:p w14:paraId="7EFEB8D3" w14:textId="47D1B54A" w:rsidR="00DF1509" w:rsidRPr="00FA375D" w:rsidRDefault="00B27E6C" w:rsidP="00EF2CE5">
      <w:pPr>
        <w:pStyle w:val="Bezproreda"/>
      </w:pPr>
      <w:r w:rsidRPr="00FA375D">
        <w:rPr>
          <w:u w:val="single"/>
        </w:rPr>
        <w:t xml:space="preserve">Bilješka broj </w:t>
      </w:r>
      <w:r w:rsidR="00D75E3E">
        <w:rPr>
          <w:u w:val="single"/>
        </w:rPr>
        <w:t>6</w:t>
      </w:r>
      <w:r w:rsidR="000D1CA9" w:rsidRPr="00FA375D">
        <w:rPr>
          <w:u w:val="single"/>
        </w:rPr>
        <w:t>5</w:t>
      </w:r>
      <w:r w:rsidR="00DA361F" w:rsidRPr="00FA375D">
        <w:t xml:space="preserve"> </w:t>
      </w:r>
      <w:r w:rsidR="00D75E3E">
        <w:t>–</w:t>
      </w:r>
      <w:r w:rsidR="00DA361F" w:rsidRPr="00FA375D">
        <w:t xml:space="preserve"> </w:t>
      </w:r>
      <w:r w:rsidR="00D75E3E">
        <w:t>V010</w:t>
      </w:r>
      <w:r w:rsidR="00D767A8" w:rsidRPr="00FA375D">
        <w:t xml:space="preserve"> -</w:t>
      </w:r>
      <w:r w:rsidR="00DF1509" w:rsidRPr="00FA375D">
        <w:t xml:space="preserve">Međusobne obveze proračunskih korisnika iznose </w:t>
      </w:r>
      <w:r w:rsidR="0054693E" w:rsidRPr="00FA375D">
        <w:t>9</w:t>
      </w:r>
      <w:r w:rsidR="00D75E3E">
        <w:t>4.441,46</w:t>
      </w:r>
      <w:r w:rsidR="00DF1509" w:rsidRPr="00FA375D">
        <w:t xml:space="preserve"> kn i odnose se na obvezu uplate 65% stanarine u Državni proračun </w:t>
      </w:r>
      <w:r w:rsidR="00B10F7D" w:rsidRPr="00FA375D">
        <w:t>1</w:t>
      </w:r>
      <w:r w:rsidR="00D75E3E">
        <w:t>2.336,96</w:t>
      </w:r>
      <w:r w:rsidR="00DF7FCA" w:rsidRPr="00FA375D">
        <w:t xml:space="preserve"> kn i bolovanje HZZO </w:t>
      </w:r>
      <w:r w:rsidR="0054693E" w:rsidRPr="00FA375D">
        <w:t>82.</w:t>
      </w:r>
      <w:r w:rsidR="00D75E3E">
        <w:t>104,50</w:t>
      </w:r>
      <w:r w:rsidR="00860251" w:rsidRPr="00FA375D">
        <w:t xml:space="preserve"> kn</w:t>
      </w:r>
      <w:r w:rsidRPr="00FA375D">
        <w:t>.</w:t>
      </w:r>
    </w:p>
    <w:p w14:paraId="0D0574E9" w14:textId="77777777" w:rsidR="000F20AD" w:rsidRPr="00346368" w:rsidRDefault="000F20AD" w:rsidP="000F20AD">
      <w:pPr>
        <w:pStyle w:val="Bezproreda"/>
        <w:rPr>
          <w:color w:val="FF0000"/>
        </w:rPr>
      </w:pPr>
    </w:p>
    <w:p w14:paraId="2562C4AB" w14:textId="77777777" w:rsidR="002A72D8" w:rsidRPr="000F20AD" w:rsidRDefault="002A72D8" w:rsidP="000F20AD">
      <w:pPr>
        <w:pStyle w:val="Odlomakpopisa"/>
        <w:numPr>
          <w:ilvl w:val="0"/>
          <w:numId w:val="1"/>
        </w:numPr>
        <w:rPr>
          <w:b/>
        </w:rPr>
      </w:pPr>
      <w:r w:rsidRPr="000F20AD">
        <w:rPr>
          <w:b/>
        </w:rPr>
        <w:t>Bilješke uz Izvještaj o rashodima prema funkcijskoj klasifikaciji</w:t>
      </w:r>
    </w:p>
    <w:p w14:paraId="69C4401C" w14:textId="7EAA001A" w:rsidR="00D11A8A" w:rsidRDefault="002A72D8" w:rsidP="00787113">
      <w:pPr>
        <w:pStyle w:val="Bezproreda"/>
      </w:pPr>
      <w:r w:rsidRPr="00B568CE">
        <w:rPr>
          <w:u w:val="single"/>
        </w:rPr>
        <w:t xml:space="preserve">Bilješka broj </w:t>
      </w:r>
      <w:r w:rsidR="00D75E3E">
        <w:rPr>
          <w:u w:val="single"/>
        </w:rPr>
        <w:t>66</w:t>
      </w:r>
      <w:r w:rsidR="00787113">
        <w:t>-</w:t>
      </w:r>
      <w:r w:rsidR="00D11A8A">
        <w:t xml:space="preserve">Pozicija 09 </w:t>
      </w:r>
      <w:r w:rsidR="00F458D8">
        <w:t>–</w:t>
      </w:r>
      <w:r w:rsidR="00D11A8A">
        <w:t>Obrazovanje</w:t>
      </w:r>
      <w:r w:rsidR="00F458D8">
        <w:t>-</w:t>
      </w:r>
      <w:r w:rsidR="00D11A8A">
        <w:t xml:space="preserve"> </w:t>
      </w:r>
      <w:r>
        <w:t xml:space="preserve">prikazuje </w:t>
      </w:r>
      <w:r w:rsidR="00232178">
        <w:t xml:space="preserve">ukupne </w:t>
      </w:r>
      <w:r>
        <w:t>rashode poslovanja</w:t>
      </w:r>
      <w:r w:rsidR="00D11A8A">
        <w:t>.</w:t>
      </w:r>
    </w:p>
    <w:p w14:paraId="591FAC89" w14:textId="5F3562B0" w:rsidR="002A72D8" w:rsidRDefault="00D11A8A" w:rsidP="00787113">
      <w:pPr>
        <w:pStyle w:val="Bezproreda"/>
      </w:pPr>
      <w:r w:rsidRPr="00787113">
        <w:rPr>
          <w:u w:val="single"/>
        </w:rPr>
        <w:t>Bilješka broj 67</w:t>
      </w:r>
      <w:r>
        <w:t>-Pozicija 091-Osnovno obrazovanje</w:t>
      </w:r>
      <w:r w:rsidR="00F458D8">
        <w:t>-</w:t>
      </w:r>
      <w:r>
        <w:t xml:space="preserve"> prikazuje rashode poslovanja</w:t>
      </w:r>
      <w:r w:rsidR="002A72D8">
        <w:t xml:space="preserve"> uman</w:t>
      </w:r>
      <w:r w:rsidR="00FA375D">
        <w:t>jene za troškove prehrane.</w:t>
      </w:r>
    </w:p>
    <w:p w14:paraId="164E2D6B" w14:textId="1DB56EC7" w:rsidR="00B568CE" w:rsidRDefault="002A72D8" w:rsidP="002A72D8">
      <w:r w:rsidRPr="00B568CE">
        <w:rPr>
          <w:u w:val="single"/>
        </w:rPr>
        <w:t xml:space="preserve">Bilješka broj </w:t>
      </w:r>
      <w:r w:rsidR="008C6136">
        <w:rPr>
          <w:u w:val="single"/>
        </w:rPr>
        <w:t>6</w:t>
      </w:r>
      <w:r w:rsidR="00D11A8A">
        <w:rPr>
          <w:u w:val="single"/>
        </w:rPr>
        <w:t>8</w:t>
      </w:r>
      <w:r w:rsidR="00787113">
        <w:t>-</w:t>
      </w:r>
      <w:r w:rsidR="00D11A8A">
        <w:t>Pozicija 096-</w:t>
      </w:r>
      <w:r>
        <w:t xml:space="preserve"> D</w:t>
      </w:r>
      <w:r w:rsidR="00E07FF7">
        <w:t>odatne usluge u obrazova</w:t>
      </w:r>
      <w:r w:rsidR="00FA375D">
        <w:t>nju</w:t>
      </w:r>
      <w:r w:rsidR="00F458D8">
        <w:t>-</w:t>
      </w:r>
      <w:r w:rsidR="00FA375D">
        <w:t xml:space="preserve"> prikazuju troškove prehrane.</w:t>
      </w:r>
    </w:p>
    <w:p w14:paraId="2F2AEA7F" w14:textId="6B1EC3E6" w:rsidR="002A72D8" w:rsidRDefault="00E07FF7" w:rsidP="002A72D8">
      <w:r>
        <w:t xml:space="preserve"> </w:t>
      </w:r>
    </w:p>
    <w:p w14:paraId="6DFF5285" w14:textId="74C53A67" w:rsidR="00240005" w:rsidRDefault="00450783" w:rsidP="00240005">
      <w:pPr>
        <w:pStyle w:val="Bezproreda"/>
      </w:pPr>
      <w:r>
        <w:t>U Krapini, 31.01.202</w:t>
      </w:r>
      <w:r w:rsidR="00E83028">
        <w:t>3</w:t>
      </w:r>
      <w:r w:rsidR="000C70F9">
        <w:t>.</w:t>
      </w:r>
      <w:r w:rsidR="000C70F9">
        <w:tab/>
      </w:r>
      <w:r w:rsidR="00240005">
        <w:tab/>
      </w:r>
      <w:r w:rsidR="00240005">
        <w:tab/>
      </w:r>
      <w:r w:rsidR="00BB191C">
        <w:t xml:space="preserve">   </w:t>
      </w:r>
      <w:r w:rsidR="00240005">
        <w:tab/>
      </w:r>
      <w:r w:rsidR="00BB191C">
        <w:t xml:space="preserve">     M.P.</w:t>
      </w:r>
      <w:r w:rsidR="00240005">
        <w:tab/>
      </w:r>
      <w:r w:rsidR="00BB191C">
        <w:t xml:space="preserve">                                     </w:t>
      </w:r>
      <w:r w:rsidR="00240005">
        <w:t>Odgovorna osoba:</w:t>
      </w:r>
    </w:p>
    <w:p w14:paraId="770DB285" w14:textId="061030C3" w:rsidR="00240005" w:rsidRDefault="00240005" w:rsidP="00240005">
      <w:pPr>
        <w:pStyle w:val="Bezproreda"/>
      </w:pPr>
      <w:r>
        <w:t>Osoba za kontaktiranje: Biserka König</w:t>
      </w:r>
      <w:r>
        <w:tab/>
      </w:r>
      <w:r>
        <w:tab/>
      </w:r>
      <w:r>
        <w:tab/>
      </w:r>
      <w:r w:rsidR="00BB191C">
        <w:t xml:space="preserve">                                     </w:t>
      </w:r>
      <w:r w:rsidR="002C6E04">
        <w:t xml:space="preserve">dr.sc. </w:t>
      </w:r>
      <w:r w:rsidR="00450783">
        <w:t>VLATKA DRUŽINEC</w:t>
      </w:r>
    </w:p>
    <w:p w14:paraId="0234E2DC" w14:textId="71925AA6" w:rsidR="00E07FF7" w:rsidRDefault="00240005" w:rsidP="002A72D8">
      <w:r>
        <w:t>Telefon: 049/370-618</w:t>
      </w:r>
      <w:r w:rsidR="000C70F9">
        <w:tab/>
      </w:r>
      <w:r w:rsidR="000C70F9">
        <w:tab/>
      </w:r>
      <w:r w:rsidR="000C70F9">
        <w:tab/>
      </w:r>
      <w:r w:rsidR="000C70F9">
        <w:tab/>
      </w:r>
      <w:r w:rsidR="000C70F9">
        <w:tab/>
      </w:r>
      <w:r w:rsidR="000C70F9">
        <w:tab/>
      </w:r>
      <w:r w:rsidR="000C70F9">
        <w:tab/>
      </w:r>
    </w:p>
    <w:sectPr w:rsidR="00E07FF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C34D6" w14:textId="77777777" w:rsidR="00072EFB" w:rsidRDefault="00072EFB" w:rsidP="00DF7FCA">
      <w:pPr>
        <w:spacing w:after="0" w:line="240" w:lineRule="auto"/>
      </w:pPr>
      <w:r>
        <w:separator/>
      </w:r>
    </w:p>
  </w:endnote>
  <w:endnote w:type="continuationSeparator" w:id="0">
    <w:p w14:paraId="51CEB710" w14:textId="77777777" w:rsidR="00072EFB" w:rsidRDefault="00072EFB" w:rsidP="00DF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954009"/>
      <w:docPartObj>
        <w:docPartGallery w:val="Page Numbers (Bottom of Page)"/>
        <w:docPartUnique/>
      </w:docPartObj>
    </w:sdtPr>
    <w:sdtEndPr/>
    <w:sdtContent>
      <w:p w14:paraId="288E481F" w14:textId="77777777" w:rsidR="00DF7FCA" w:rsidRDefault="00DF7FCA">
        <w:pPr>
          <w:pStyle w:val="Podnoje"/>
        </w:pPr>
        <w:r>
          <w:rPr>
            <w:noProof/>
            <w:lang w:eastAsia="hr-HR"/>
          </w:rPr>
          <mc:AlternateContent>
            <mc:Choice Requires="wps">
              <w:drawing>
                <wp:anchor distT="0" distB="0" distL="114300" distR="114300" simplePos="0" relativeHeight="251659264" behindDoc="0" locked="0" layoutInCell="1" allowOverlap="1" wp14:anchorId="15A3D307" wp14:editId="48E35EB4">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5B4EAD8" w14:textId="3BE46604" w:rsidR="00DF7FCA" w:rsidRDefault="00DF7FCA">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F0084C" w:rsidRPr="00F0084C">
                                <w:rPr>
                                  <w:noProof/>
                                  <w:color w:val="C0504D" w:themeColor="accent2"/>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5A3D307"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wMzKRxwIAAMMFAAAOAAAAAAAAAAAAAAAAAC4CAABkcnMvZTJvRG9jLnhtbFBLAQItABQA&#10;BgAIAAAAIQAj5Xrx2wAAAAMBAAAPAAAAAAAAAAAAAAAAACEFAABkcnMvZG93bnJldi54bWxQSwUG&#10;AAAAAAQABADzAAAAKQYAAAAA&#10;" filled="f" fillcolor="#c0504d" stroked="f" strokecolor="#5c83b4" strokeweight="2.25pt">
                  <v:textbox inset=",0,,0">
                    <w:txbxContent>
                      <w:p w14:paraId="55B4EAD8" w14:textId="3BE46604" w:rsidR="00DF7FCA" w:rsidRDefault="00DF7FCA">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F0084C" w:rsidRPr="00F0084C">
                          <w:rPr>
                            <w:noProof/>
                            <w:color w:val="C0504D" w:themeColor="accent2"/>
                          </w:rPr>
                          <w:t>1</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44E6F" w14:textId="77777777" w:rsidR="00072EFB" w:rsidRDefault="00072EFB" w:rsidP="00DF7FCA">
      <w:pPr>
        <w:spacing w:after="0" w:line="240" w:lineRule="auto"/>
      </w:pPr>
      <w:r>
        <w:separator/>
      </w:r>
    </w:p>
  </w:footnote>
  <w:footnote w:type="continuationSeparator" w:id="0">
    <w:p w14:paraId="528883C9" w14:textId="77777777" w:rsidR="00072EFB" w:rsidRDefault="00072EFB" w:rsidP="00DF7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5529"/>
    <w:multiLevelType w:val="hybridMultilevel"/>
    <w:tmpl w:val="1780D3B0"/>
    <w:lvl w:ilvl="0" w:tplc="CDD86806">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EB3729"/>
    <w:multiLevelType w:val="hybridMultilevel"/>
    <w:tmpl w:val="8094196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30D153A"/>
    <w:multiLevelType w:val="hybridMultilevel"/>
    <w:tmpl w:val="F4E45368"/>
    <w:lvl w:ilvl="0" w:tplc="ED1AA6D0">
      <w:start w:val="313"/>
      <w:numFmt w:val="bullet"/>
      <w:lvlText w:val="-"/>
      <w:lvlJc w:val="left"/>
      <w:pPr>
        <w:ind w:left="1710" w:hanging="360"/>
      </w:pPr>
      <w:rPr>
        <w:rFonts w:ascii="Calibri" w:eastAsiaTheme="minorHAnsi" w:hAnsi="Calibri" w:cs="Calibri" w:hint="default"/>
      </w:rPr>
    </w:lvl>
    <w:lvl w:ilvl="1" w:tplc="041A0003" w:tentative="1">
      <w:start w:val="1"/>
      <w:numFmt w:val="bullet"/>
      <w:lvlText w:val="o"/>
      <w:lvlJc w:val="left"/>
      <w:pPr>
        <w:ind w:left="2430" w:hanging="360"/>
      </w:pPr>
      <w:rPr>
        <w:rFonts w:ascii="Courier New" w:hAnsi="Courier New" w:cs="Courier New" w:hint="default"/>
      </w:rPr>
    </w:lvl>
    <w:lvl w:ilvl="2" w:tplc="041A0005" w:tentative="1">
      <w:start w:val="1"/>
      <w:numFmt w:val="bullet"/>
      <w:lvlText w:val=""/>
      <w:lvlJc w:val="left"/>
      <w:pPr>
        <w:ind w:left="3150" w:hanging="360"/>
      </w:pPr>
      <w:rPr>
        <w:rFonts w:ascii="Wingdings" w:hAnsi="Wingdings" w:hint="default"/>
      </w:rPr>
    </w:lvl>
    <w:lvl w:ilvl="3" w:tplc="041A0001" w:tentative="1">
      <w:start w:val="1"/>
      <w:numFmt w:val="bullet"/>
      <w:lvlText w:val=""/>
      <w:lvlJc w:val="left"/>
      <w:pPr>
        <w:ind w:left="3870" w:hanging="360"/>
      </w:pPr>
      <w:rPr>
        <w:rFonts w:ascii="Symbol" w:hAnsi="Symbol" w:hint="default"/>
      </w:rPr>
    </w:lvl>
    <w:lvl w:ilvl="4" w:tplc="041A0003" w:tentative="1">
      <w:start w:val="1"/>
      <w:numFmt w:val="bullet"/>
      <w:lvlText w:val="o"/>
      <w:lvlJc w:val="left"/>
      <w:pPr>
        <w:ind w:left="4590" w:hanging="360"/>
      </w:pPr>
      <w:rPr>
        <w:rFonts w:ascii="Courier New" w:hAnsi="Courier New" w:cs="Courier New" w:hint="default"/>
      </w:rPr>
    </w:lvl>
    <w:lvl w:ilvl="5" w:tplc="041A0005" w:tentative="1">
      <w:start w:val="1"/>
      <w:numFmt w:val="bullet"/>
      <w:lvlText w:val=""/>
      <w:lvlJc w:val="left"/>
      <w:pPr>
        <w:ind w:left="5310" w:hanging="360"/>
      </w:pPr>
      <w:rPr>
        <w:rFonts w:ascii="Wingdings" w:hAnsi="Wingdings" w:hint="default"/>
      </w:rPr>
    </w:lvl>
    <w:lvl w:ilvl="6" w:tplc="041A0001" w:tentative="1">
      <w:start w:val="1"/>
      <w:numFmt w:val="bullet"/>
      <w:lvlText w:val=""/>
      <w:lvlJc w:val="left"/>
      <w:pPr>
        <w:ind w:left="6030" w:hanging="360"/>
      </w:pPr>
      <w:rPr>
        <w:rFonts w:ascii="Symbol" w:hAnsi="Symbol" w:hint="default"/>
      </w:rPr>
    </w:lvl>
    <w:lvl w:ilvl="7" w:tplc="041A0003" w:tentative="1">
      <w:start w:val="1"/>
      <w:numFmt w:val="bullet"/>
      <w:lvlText w:val="o"/>
      <w:lvlJc w:val="left"/>
      <w:pPr>
        <w:ind w:left="6750" w:hanging="360"/>
      </w:pPr>
      <w:rPr>
        <w:rFonts w:ascii="Courier New" w:hAnsi="Courier New" w:cs="Courier New" w:hint="default"/>
      </w:rPr>
    </w:lvl>
    <w:lvl w:ilvl="8" w:tplc="041A0005" w:tentative="1">
      <w:start w:val="1"/>
      <w:numFmt w:val="bullet"/>
      <w:lvlText w:val=""/>
      <w:lvlJc w:val="left"/>
      <w:pPr>
        <w:ind w:left="7470" w:hanging="360"/>
      </w:pPr>
      <w:rPr>
        <w:rFonts w:ascii="Wingdings" w:hAnsi="Wingdings" w:hint="default"/>
      </w:rPr>
    </w:lvl>
  </w:abstractNum>
  <w:abstractNum w:abstractNumId="3" w15:restartNumberingAfterBreak="0">
    <w:nsid w:val="22641392"/>
    <w:multiLevelType w:val="hybridMultilevel"/>
    <w:tmpl w:val="6BB22C04"/>
    <w:lvl w:ilvl="0" w:tplc="A7A61204">
      <w:start w:val="1"/>
      <w:numFmt w:val="bullet"/>
      <w:lvlText w:val="-"/>
      <w:lvlJc w:val="left"/>
      <w:pPr>
        <w:ind w:left="1800" w:hanging="360"/>
      </w:pPr>
      <w:rPr>
        <w:rFonts w:ascii="Calibri" w:eastAsiaTheme="minorHAnsi" w:hAnsi="Calibri" w:cs="Calibri"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4" w15:restartNumberingAfterBreak="0">
    <w:nsid w:val="278C4D39"/>
    <w:multiLevelType w:val="hybridMultilevel"/>
    <w:tmpl w:val="A03A71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93933B7"/>
    <w:multiLevelType w:val="hybridMultilevel"/>
    <w:tmpl w:val="01FEB110"/>
    <w:lvl w:ilvl="0" w:tplc="1AACA59C">
      <w:start w:val="313"/>
      <w:numFmt w:val="bullet"/>
      <w:lvlText w:val="-"/>
      <w:lvlJc w:val="left"/>
      <w:pPr>
        <w:ind w:left="1515" w:hanging="360"/>
      </w:pPr>
      <w:rPr>
        <w:rFonts w:ascii="Calibri" w:eastAsiaTheme="minorHAnsi" w:hAnsi="Calibri" w:cs="Calibri"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6" w15:restartNumberingAfterBreak="0">
    <w:nsid w:val="433B7E6E"/>
    <w:multiLevelType w:val="hybridMultilevel"/>
    <w:tmpl w:val="DA44ED40"/>
    <w:lvl w:ilvl="0" w:tplc="617AFA32">
      <w:start w:val="31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50E5BA9"/>
    <w:multiLevelType w:val="hybridMultilevel"/>
    <w:tmpl w:val="E222C61C"/>
    <w:lvl w:ilvl="0" w:tplc="1B7E0DF6">
      <w:start w:val="313"/>
      <w:numFmt w:val="bullet"/>
      <w:lvlText w:val="-"/>
      <w:lvlJc w:val="left"/>
      <w:pPr>
        <w:ind w:left="1605" w:hanging="360"/>
      </w:pPr>
      <w:rPr>
        <w:rFonts w:ascii="Calibri" w:eastAsiaTheme="minorHAnsi" w:hAnsi="Calibri" w:cs="Calibri" w:hint="default"/>
      </w:rPr>
    </w:lvl>
    <w:lvl w:ilvl="1" w:tplc="041A0003" w:tentative="1">
      <w:start w:val="1"/>
      <w:numFmt w:val="bullet"/>
      <w:lvlText w:val="o"/>
      <w:lvlJc w:val="left"/>
      <w:pPr>
        <w:ind w:left="2325" w:hanging="360"/>
      </w:pPr>
      <w:rPr>
        <w:rFonts w:ascii="Courier New" w:hAnsi="Courier New" w:cs="Courier New" w:hint="default"/>
      </w:rPr>
    </w:lvl>
    <w:lvl w:ilvl="2" w:tplc="041A0005" w:tentative="1">
      <w:start w:val="1"/>
      <w:numFmt w:val="bullet"/>
      <w:lvlText w:val=""/>
      <w:lvlJc w:val="left"/>
      <w:pPr>
        <w:ind w:left="3045" w:hanging="360"/>
      </w:pPr>
      <w:rPr>
        <w:rFonts w:ascii="Wingdings" w:hAnsi="Wingdings" w:hint="default"/>
      </w:rPr>
    </w:lvl>
    <w:lvl w:ilvl="3" w:tplc="041A0001" w:tentative="1">
      <w:start w:val="1"/>
      <w:numFmt w:val="bullet"/>
      <w:lvlText w:val=""/>
      <w:lvlJc w:val="left"/>
      <w:pPr>
        <w:ind w:left="3765" w:hanging="360"/>
      </w:pPr>
      <w:rPr>
        <w:rFonts w:ascii="Symbol" w:hAnsi="Symbol" w:hint="default"/>
      </w:rPr>
    </w:lvl>
    <w:lvl w:ilvl="4" w:tplc="041A0003" w:tentative="1">
      <w:start w:val="1"/>
      <w:numFmt w:val="bullet"/>
      <w:lvlText w:val="o"/>
      <w:lvlJc w:val="left"/>
      <w:pPr>
        <w:ind w:left="4485" w:hanging="360"/>
      </w:pPr>
      <w:rPr>
        <w:rFonts w:ascii="Courier New" w:hAnsi="Courier New" w:cs="Courier New" w:hint="default"/>
      </w:rPr>
    </w:lvl>
    <w:lvl w:ilvl="5" w:tplc="041A0005" w:tentative="1">
      <w:start w:val="1"/>
      <w:numFmt w:val="bullet"/>
      <w:lvlText w:val=""/>
      <w:lvlJc w:val="left"/>
      <w:pPr>
        <w:ind w:left="5205" w:hanging="360"/>
      </w:pPr>
      <w:rPr>
        <w:rFonts w:ascii="Wingdings" w:hAnsi="Wingdings" w:hint="default"/>
      </w:rPr>
    </w:lvl>
    <w:lvl w:ilvl="6" w:tplc="041A0001" w:tentative="1">
      <w:start w:val="1"/>
      <w:numFmt w:val="bullet"/>
      <w:lvlText w:val=""/>
      <w:lvlJc w:val="left"/>
      <w:pPr>
        <w:ind w:left="5925" w:hanging="360"/>
      </w:pPr>
      <w:rPr>
        <w:rFonts w:ascii="Symbol" w:hAnsi="Symbol" w:hint="default"/>
      </w:rPr>
    </w:lvl>
    <w:lvl w:ilvl="7" w:tplc="041A0003" w:tentative="1">
      <w:start w:val="1"/>
      <w:numFmt w:val="bullet"/>
      <w:lvlText w:val="o"/>
      <w:lvlJc w:val="left"/>
      <w:pPr>
        <w:ind w:left="6645" w:hanging="360"/>
      </w:pPr>
      <w:rPr>
        <w:rFonts w:ascii="Courier New" w:hAnsi="Courier New" w:cs="Courier New" w:hint="default"/>
      </w:rPr>
    </w:lvl>
    <w:lvl w:ilvl="8" w:tplc="041A0005" w:tentative="1">
      <w:start w:val="1"/>
      <w:numFmt w:val="bullet"/>
      <w:lvlText w:val=""/>
      <w:lvlJc w:val="left"/>
      <w:pPr>
        <w:ind w:left="7365" w:hanging="360"/>
      </w:pPr>
      <w:rPr>
        <w:rFonts w:ascii="Wingdings" w:hAnsi="Wingdings" w:hint="default"/>
      </w:rPr>
    </w:lvl>
  </w:abstractNum>
  <w:abstractNum w:abstractNumId="8" w15:restartNumberingAfterBreak="0">
    <w:nsid w:val="4D6D0D2A"/>
    <w:multiLevelType w:val="hybridMultilevel"/>
    <w:tmpl w:val="1F94F3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9AA67A6"/>
    <w:multiLevelType w:val="hybridMultilevel"/>
    <w:tmpl w:val="A8D2FBD6"/>
    <w:lvl w:ilvl="0" w:tplc="0A3ACF98">
      <w:numFmt w:val="bullet"/>
      <w:lvlText w:val="-"/>
      <w:lvlJc w:val="left"/>
      <w:pPr>
        <w:ind w:left="3015" w:hanging="360"/>
      </w:pPr>
      <w:rPr>
        <w:rFonts w:ascii="Times New Roman" w:eastAsia="Times New Roman" w:hAnsi="Times New Roman" w:cs="Times New Roman" w:hint="default"/>
      </w:rPr>
    </w:lvl>
    <w:lvl w:ilvl="1" w:tplc="041A0003" w:tentative="1">
      <w:start w:val="1"/>
      <w:numFmt w:val="bullet"/>
      <w:lvlText w:val="o"/>
      <w:lvlJc w:val="left"/>
      <w:pPr>
        <w:ind w:left="3735" w:hanging="360"/>
      </w:pPr>
      <w:rPr>
        <w:rFonts w:ascii="Courier New" w:hAnsi="Courier New" w:cs="Courier New" w:hint="default"/>
      </w:rPr>
    </w:lvl>
    <w:lvl w:ilvl="2" w:tplc="041A0005" w:tentative="1">
      <w:start w:val="1"/>
      <w:numFmt w:val="bullet"/>
      <w:lvlText w:val=""/>
      <w:lvlJc w:val="left"/>
      <w:pPr>
        <w:ind w:left="4455" w:hanging="360"/>
      </w:pPr>
      <w:rPr>
        <w:rFonts w:ascii="Wingdings" w:hAnsi="Wingdings" w:hint="default"/>
      </w:rPr>
    </w:lvl>
    <w:lvl w:ilvl="3" w:tplc="041A0001" w:tentative="1">
      <w:start w:val="1"/>
      <w:numFmt w:val="bullet"/>
      <w:lvlText w:val=""/>
      <w:lvlJc w:val="left"/>
      <w:pPr>
        <w:ind w:left="5175" w:hanging="360"/>
      </w:pPr>
      <w:rPr>
        <w:rFonts w:ascii="Symbol" w:hAnsi="Symbol" w:hint="default"/>
      </w:rPr>
    </w:lvl>
    <w:lvl w:ilvl="4" w:tplc="041A0003" w:tentative="1">
      <w:start w:val="1"/>
      <w:numFmt w:val="bullet"/>
      <w:lvlText w:val="o"/>
      <w:lvlJc w:val="left"/>
      <w:pPr>
        <w:ind w:left="5895" w:hanging="360"/>
      </w:pPr>
      <w:rPr>
        <w:rFonts w:ascii="Courier New" w:hAnsi="Courier New" w:cs="Courier New" w:hint="default"/>
      </w:rPr>
    </w:lvl>
    <w:lvl w:ilvl="5" w:tplc="041A0005" w:tentative="1">
      <w:start w:val="1"/>
      <w:numFmt w:val="bullet"/>
      <w:lvlText w:val=""/>
      <w:lvlJc w:val="left"/>
      <w:pPr>
        <w:ind w:left="6615" w:hanging="360"/>
      </w:pPr>
      <w:rPr>
        <w:rFonts w:ascii="Wingdings" w:hAnsi="Wingdings" w:hint="default"/>
      </w:rPr>
    </w:lvl>
    <w:lvl w:ilvl="6" w:tplc="041A0001" w:tentative="1">
      <w:start w:val="1"/>
      <w:numFmt w:val="bullet"/>
      <w:lvlText w:val=""/>
      <w:lvlJc w:val="left"/>
      <w:pPr>
        <w:ind w:left="7335" w:hanging="360"/>
      </w:pPr>
      <w:rPr>
        <w:rFonts w:ascii="Symbol" w:hAnsi="Symbol" w:hint="default"/>
      </w:rPr>
    </w:lvl>
    <w:lvl w:ilvl="7" w:tplc="041A0003" w:tentative="1">
      <w:start w:val="1"/>
      <w:numFmt w:val="bullet"/>
      <w:lvlText w:val="o"/>
      <w:lvlJc w:val="left"/>
      <w:pPr>
        <w:ind w:left="8055" w:hanging="360"/>
      </w:pPr>
      <w:rPr>
        <w:rFonts w:ascii="Courier New" w:hAnsi="Courier New" w:cs="Courier New" w:hint="default"/>
      </w:rPr>
    </w:lvl>
    <w:lvl w:ilvl="8" w:tplc="041A0005" w:tentative="1">
      <w:start w:val="1"/>
      <w:numFmt w:val="bullet"/>
      <w:lvlText w:val=""/>
      <w:lvlJc w:val="left"/>
      <w:pPr>
        <w:ind w:left="8775" w:hanging="360"/>
      </w:pPr>
      <w:rPr>
        <w:rFonts w:ascii="Wingdings" w:hAnsi="Wingdings" w:hint="default"/>
      </w:rPr>
    </w:lvl>
  </w:abstractNum>
  <w:abstractNum w:abstractNumId="10" w15:restartNumberingAfterBreak="0">
    <w:nsid w:val="6A4827A3"/>
    <w:multiLevelType w:val="hybridMultilevel"/>
    <w:tmpl w:val="BB16F1EA"/>
    <w:lvl w:ilvl="0" w:tplc="9D4A9B14">
      <w:start w:val="1"/>
      <w:numFmt w:val="bullet"/>
      <w:lvlText w:val="-"/>
      <w:lvlJc w:val="left"/>
      <w:pPr>
        <w:ind w:left="1776" w:hanging="360"/>
      </w:pPr>
      <w:rPr>
        <w:rFonts w:ascii="Calibri" w:eastAsiaTheme="minorHAnsi" w:hAnsi="Calibri" w:cs="Calibri"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1" w15:restartNumberingAfterBreak="0">
    <w:nsid w:val="73C219DB"/>
    <w:multiLevelType w:val="hybridMultilevel"/>
    <w:tmpl w:val="894A43A6"/>
    <w:lvl w:ilvl="0" w:tplc="9E98BAFA">
      <w:start w:val="313"/>
      <w:numFmt w:val="bullet"/>
      <w:lvlText w:val="-"/>
      <w:lvlJc w:val="left"/>
      <w:pPr>
        <w:ind w:left="1710" w:hanging="360"/>
      </w:pPr>
      <w:rPr>
        <w:rFonts w:ascii="Calibri" w:eastAsiaTheme="minorHAnsi" w:hAnsi="Calibri" w:cs="Calibri" w:hint="default"/>
      </w:rPr>
    </w:lvl>
    <w:lvl w:ilvl="1" w:tplc="041A0003" w:tentative="1">
      <w:start w:val="1"/>
      <w:numFmt w:val="bullet"/>
      <w:lvlText w:val="o"/>
      <w:lvlJc w:val="left"/>
      <w:pPr>
        <w:ind w:left="2430" w:hanging="360"/>
      </w:pPr>
      <w:rPr>
        <w:rFonts w:ascii="Courier New" w:hAnsi="Courier New" w:cs="Courier New" w:hint="default"/>
      </w:rPr>
    </w:lvl>
    <w:lvl w:ilvl="2" w:tplc="041A0005" w:tentative="1">
      <w:start w:val="1"/>
      <w:numFmt w:val="bullet"/>
      <w:lvlText w:val=""/>
      <w:lvlJc w:val="left"/>
      <w:pPr>
        <w:ind w:left="3150" w:hanging="360"/>
      </w:pPr>
      <w:rPr>
        <w:rFonts w:ascii="Wingdings" w:hAnsi="Wingdings" w:hint="default"/>
      </w:rPr>
    </w:lvl>
    <w:lvl w:ilvl="3" w:tplc="041A0001" w:tentative="1">
      <w:start w:val="1"/>
      <w:numFmt w:val="bullet"/>
      <w:lvlText w:val=""/>
      <w:lvlJc w:val="left"/>
      <w:pPr>
        <w:ind w:left="3870" w:hanging="360"/>
      </w:pPr>
      <w:rPr>
        <w:rFonts w:ascii="Symbol" w:hAnsi="Symbol" w:hint="default"/>
      </w:rPr>
    </w:lvl>
    <w:lvl w:ilvl="4" w:tplc="041A0003" w:tentative="1">
      <w:start w:val="1"/>
      <w:numFmt w:val="bullet"/>
      <w:lvlText w:val="o"/>
      <w:lvlJc w:val="left"/>
      <w:pPr>
        <w:ind w:left="4590" w:hanging="360"/>
      </w:pPr>
      <w:rPr>
        <w:rFonts w:ascii="Courier New" w:hAnsi="Courier New" w:cs="Courier New" w:hint="default"/>
      </w:rPr>
    </w:lvl>
    <w:lvl w:ilvl="5" w:tplc="041A0005" w:tentative="1">
      <w:start w:val="1"/>
      <w:numFmt w:val="bullet"/>
      <w:lvlText w:val=""/>
      <w:lvlJc w:val="left"/>
      <w:pPr>
        <w:ind w:left="5310" w:hanging="360"/>
      </w:pPr>
      <w:rPr>
        <w:rFonts w:ascii="Wingdings" w:hAnsi="Wingdings" w:hint="default"/>
      </w:rPr>
    </w:lvl>
    <w:lvl w:ilvl="6" w:tplc="041A0001" w:tentative="1">
      <w:start w:val="1"/>
      <w:numFmt w:val="bullet"/>
      <w:lvlText w:val=""/>
      <w:lvlJc w:val="left"/>
      <w:pPr>
        <w:ind w:left="6030" w:hanging="360"/>
      </w:pPr>
      <w:rPr>
        <w:rFonts w:ascii="Symbol" w:hAnsi="Symbol" w:hint="default"/>
      </w:rPr>
    </w:lvl>
    <w:lvl w:ilvl="7" w:tplc="041A0003" w:tentative="1">
      <w:start w:val="1"/>
      <w:numFmt w:val="bullet"/>
      <w:lvlText w:val="o"/>
      <w:lvlJc w:val="left"/>
      <w:pPr>
        <w:ind w:left="6750" w:hanging="360"/>
      </w:pPr>
      <w:rPr>
        <w:rFonts w:ascii="Courier New" w:hAnsi="Courier New" w:cs="Courier New" w:hint="default"/>
      </w:rPr>
    </w:lvl>
    <w:lvl w:ilvl="8" w:tplc="041A0005" w:tentative="1">
      <w:start w:val="1"/>
      <w:numFmt w:val="bullet"/>
      <w:lvlText w:val=""/>
      <w:lvlJc w:val="left"/>
      <w:pPr>
        <w:ind w:left="7470" w:hanging="360"/>
      </w:pPr>
      <w:rPr>
        <w:rFonts w:ascii="Wingdings" w:hAnsi="Wingdings" w:hint="default"/>
      </w:rPr>
    </w:lvl>
  </w:abstractNum>
  <w:abstractNum w:abstractNumId="12" w15:restartNumberingAfterBreak="0">
    <w:nsid w:val="79ED462B"/>
    <w:multiLevelType w:val="hybridMultilevel"/>
    <w:tmpl w:val="70585E0C"/>
    <w:lvl w:ilvl="0" w:tplc="DA7A30BE">
      <w:start w:val="313"/>
      <w:numFmt w:val="bullet"/>
      <w:lvlText w:val="-"/>
      <w:lvlJc w:val="left"/>
      <w:pPr>
        <w:ind w:left="1500" w:hanging="360"/>
      </w:pPr>
      <w:rPr>
        <w:rFonts w:ascii="Calibri" w:eastAsiaTheme="minorHAnsi" w:hAnsi="Calibri" w:cs="Calibri" w:hint="default"/>
        <w:b/>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3" w15:restartNumberingAfterBreak="0">
    <w:nsid w:val="7D2125DA"/>
    <w:multiLevelType w:val="hybridMultilevel"/>
    <w:tmpl w:val="6CB49AB0"/>
    <w:lvl w:ilvl="0" w:tplc="19E49EE6">
      <w:start w:val="313"/>
      <w:numFmt w:val="bullet"/>
      <w:lvlText w:val="-"/>
      <w:lvlJc w:val="left"/>
      <w:pPr>
        <w:ind w:left="1710" w:hanging="360"/>
      </w:pPr>
      <w:rPr>
        <w:rFonts w:ascii="Calibri" w:eastAsiaTheme="minorHAnsi" w:hAnsi="Calibri" w:cs="Calibri" w:hint="default"/>
      </w:rPr>
    </w:lvl>
    <w:lvl w:ilvl="1" w:tplc="041A0003" w:tentative="1">
      <w:start w:val="1"/>
      <w:numFmt w:val="bullet"/>
      <w:lvlText w:val="o"/>
      <w:lvlJc w:val="left"/>
      <w:pPr>
        <w:ind w:left="2430" w:hanging="360"/>
      </w:pPr>
      <w:rPr>
        <w:rFonts w:ascii="Courier New" w:hAnsi="Courier New" w:cs="Courier New" w:hint="default"/>
      </w:rPr>
    </w:lvl>
    <w:lvl w:ilvl="2" w:tplc="041A0005" w:tentative="1">
      <w:start w:val="1"/>
      <w:numFmt w:val="bullet"/>
      <w:lvlText w:val=""/>
      <w:lvlJc w:val="left"/>
      <w:pPr>
        <w:ind w:left="3150" w:hanging="360"/>
      </w:pPr>
      <w:rPr>
        <w:rFonts w:ascii="Wingdings" w:hAnsi="Wingdings" w:hint="default"/>
      </w:rPr>
    </w:lvl>
    <w:lvl w:ilvl="3" w:tplc="041A0001" w:tentative="1">
      <w:start w:val="1"/>
      <w:numFmt w:val="bullet"/>
      <w:lvlText w:val=""/>
      <w:lvlJc w:val="left"/>
      <w:pPr>
        <w:ind w:left="3870" w:hanging="360"/>
      </w:pPr>
      <w:rPr>
        <w:rFonts w:ascii="Symbol" w:hAnsi="Symbol" w:hint="default"/>
      </w:rPr>
    </w:lvl>
    <w:lvl w:ilvl="4" w:tplc="041A0003" w:tentative="1">
      <w:start w:val="1"/>
      <w:numFmt w:val="bullet"/>
      <w:lvlText w:val="o"/>
      <w:lvlJc w:val="left"/>
      <w:pPr>
        <w:ind w:left="4590" w:hanging="360"/>
      </w:pPr>
      <w:rPr>
        <w:rFonts w:ascii="Courier New" w:hAnsi="Courier New" w:cs="Courier New" w:hint="default"/>
      </w:rPr>
    </w:lvl>
    <w:lvl w:ilvl="5" w:tplc="041A0005" w:tentative="1">
      <w:start w:val="1"/>
      <w:numFmt w:val="bullet"/>
      <w:lvlText w:val=""/>
      <w:lvlJc w:val="left"/>
      <w:pPr>
        <w:ind w:left="5310" w:hanging="360"/>
      </w:pPr>
      <w:rPr>
        <w:rFonts w:ascii="Wingdings" w:hAnsi="Wingdings" w:hint="default"/>
      </w:rPr>
    </w:lvl>
    <w:lvl w:ilvl="6" w:tplc="041A0001" w:tentative="1">
      <w:start w:val="1"/>
      <w:numFmt w:val="bullet"/>
      <w:lvlText w:val=""/>
      <w:lvlJc w:val="left"/>
      <w:pPr>
        <w:ind w:left="6030" w:hanging="360"/>
      </w:pPr>
      <w:rPr>
        <w:rFonts w:ascii="Symbol" w:hAnsi="Symbol" w:hint="default"/>
      </w:rPr>
    </w:lvl>
    <w:lvl w:ilvl="7" w:tplc="041A0003" w:tentative="1">
      <w:start w:val="1"/>
      <w:numFmt w:val="bullet"/>
      <w:lvlText w:val="o"/>
      <w:lvlJc w:val="left"/>
      <w:pPr>
        <w:ind w:left="6750" w:hanging="360"/>
      </w:pPr>
      <w:rPr>
        <w:rFonts w:ascii="Courier New" w:hAnsi="Courier New" w:cs="Courier New" w:hint="default"/>
      </w:rPr>
    </w:lvl>
    <w:lvl w:ilvl="8" w:tplc="041A0005" w:tentative="1">
      <w:start w:val="1"/>
      <w:numFmt w:val="bullet"/>
      <w:lvlText w:val=""/>
      <w:lvlJc w:val="left"/>
      <w:pPr>
        <w:ind w:left="7470" w:hanging="360"/>
      </w:pPr>
      <w:rPr>
        <w:rFonts w:ascii="Wingdings" w:hAnsi="Wingdings" w:hint="default"/>
      </w:rPr>
    </w:lvl>
  </w:abstractNum>
  <w:num w:numId="1">
    <w:abstractNumId w:val="0"/>
  </w:num>
  <w:num w:numId="2">
    <w:abstractNumId w:val="1"/>
  </w:num>
  <w:num w:numId="3">
    <w:abstractNumId w:val="8"/>
  </w:num>
  <w:num w:numId="4">
    <w:abstractNumId w:val="10"/>
  </w:num>
  <w:num w:numId="5">
    <w:abstractNumId w:val="3"/>
  </w:num>
  <w:num w:numId="6">
    <w:abstractNumId w:val="4"/>
  </w:num>
  <w:num w:numId="7">
    <w:abstractNumId w:val="9"/>
  </w:num>
  <w:num w:numId="8">
    <w:abstractNumId w:val="12"/>
  </w:num>
  <w:num w:numId="9">
    <w:abstractNumId w:val="13"/>
  </w:num>
  <w:num w:numId="10">
    <w:abstractNumId w:val="6"/>
  </w:num>
  <w:num w:numId="11">
    <w:abstractNumId w:val="11"/>
  </w:num>
  <w:num w:numId="12">
    <w:abstractNumId w:val="2"/>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9CF"/>
    <w:rsid w:val="0000066A"/>
    <w:rsid w:val="000059D8"/>
    <w:rsid w:val="00020749"/>
    <w:rsid w:val="000233E9"/>
    <w:rsid w:val="00030660"/>
    <w:rsid w:val="00034064"/>
    <w:rsid w:val="00034185"/>
    <w:rsid w:val="00037900"/>
    <w:rsid w:val="00044140"/>
    <w:rsid w:val="000448CD"/>
    <w:rsid w:val="00047108"/>
    <w:rsid w:val="00050EC0"/>
    <w:rsid w:val="000558C0"/>
    <w:rsid w:val="00061DDB"/>
    <w:rsid w:val="00070EE3"/>
    <w:rsid w:val="00072EFB"/>
    <w:rsid w:val="00077062"/>
    <w:rsid w:val="000772B7"/>
    <w:rsid w:val="000844DD"/>
    <w:rsid w:val="000A014B"/>
    <w:rsid w:val="000A0914"/>
    <w:rsid w:val="000A1264"/>
    <w:rsid w:val="000B46D0"/>
    <w:rsid w:val="000B6E3D"/>
    <w:rsid w:val="000C2516"/>
    <w:rsid w:val="000C4545"/>
    <w:rsid w:val="000C70F9"/>
    <w:rsid w:val="000D1580"/>
    <w:rsid w:val="000D1CA9"/>
    <w:rsid w:val="000D42CA"/>
    <w:rsid w:val="000D5FDD"/>
    <w:rsid w:val="000E5CF7"/>
    <w:rsid w:val="000F20AD"/>
    <w:rsid w:val="000F5A85"/>
    <w:rsid w:val="000F6F24"/>
    <w:rsid w:val="0010463B"/>
    <w:rsid w:val="001115E9"/>
    <w:rsid w:val="0011285B"/>
    <w:rsid w:val="00116819"/>
    <w:rsid w:val="001259AC"/>
    <w:rsid w:val="001303E5"/>
    <w:rsid w:val="00132A76"/>
    <w:rsid w:val="00134444"/>
    <w:rsid w:val="00140828"/>
    <w:rsid w:val="00150916"/>
    <w:rsid w:val="001559D7"/>
    <w:rsid w:val="00165AF4"/>
    <w:rsid w:val="00170A86"/>
    <w:rsid w:val="00170EAC"/>
    <w:rsid w:val="00172AB3"/>
    <w:rsid w:val="001778F8"/>
    <w:rsid w:val="00181CC2"/>
    <w:rsid w:val="00181F6A"/>
    <w:rsid w:val="001835D8"/>
    <w:rsid w:val="001841F1"/>
    <w:rsid w:val="00187EFF"/>
    <w:rsid w:val="00192B08"/>
    <w:rsid w:val="001A5E64"/>
    <w:rsid w:val="001B4C29"/>
    <w:rsid w:val="001F0219"/>
    <w:rsid w:val="001F3715"/>
    <w:rsid w:val="00200319"/>
    <w:rsid w:val="0020122D"/>
    <w:rsid w:val="002244A5"/>
    <w:rsid w:val="00232178"/>
    <w:rsid w:val="00235517"/>
    <w:rsid w:val="00240005"/>
    <w:rsid w:val="002402CD"/>
    <w:rsid w:val="00241948"/>
    <w:rsid w:val="0024466D"/>
    <w:rsid w:val="00256BD8"/>
    <w:rsid w:val="00257836"/>
    <w:rsid w:val="00264662"/>
    <w:rsid w:val="00272E09"/>
    <w:rsid w:val="00275D3A"/>
    <w:rsid w:val="0028316F"/>
    <w:rsid w:val="00283D4F"/>
    <w:rsid w:val="00291581"/>
    <w:rsid w:val="0029467B"/>
    <w:rsid w:val="002A72D8"/>
    <w:rsid w:val="002B0E50"/>
    <w:rsid w:val="002B3D28"/>
    <w:rsid w:val="002C59C5"/>
    <w:rsid w:val="002C5A48"/>
    <w:rsid w:val="002C6E04"/>
    <w:rsid w:val="002D172D"/>
    <w:rsid w:val="002D3D99"/>
    <w:rsid w:val="002D52E3"/>
    <w:rsid w:val="002E4585"/>
    <w:rsid w:val="002E4870"/>
    <w:rsid w:val="002E673B"/>
    <w:rsid w:val="002F0232"/>
    <w:rsid w:val="002F2AC7"/>
    <w:rsid w:val="002F7201"/>
    <w:rsid w:val="003014D0"/>
    <w:rsid w:val="00302E4D"/>
    <w:rsid w:val="003043F5"/>
    <w:rsid w:val="00306705"/>
    <w:rsid w:val="00323FB5"/>
    <w:rsid w:val="00325340"/>
    <w:rsid w:val="0033050A"/>
    <w:rsid w:val="003333EC"/>
    <w:rsid w:val="00335AEC"/>
    <w:rsid w:val="00346368"/>
    <w:rsid w:val="0037139D"/>
    <w:rsid w:val="00381DB5"/>
    <w:rsid w:val="0038554A"/>
    <w:rsid w:val="003866C0"/>
    <w:rsid w:val="00391409"/>
    <w:rsid w:val="00392034"/>
    <w:rsid w:val="0039724A"/>
    <w:rsid w:val="00397F1E"/>
    <w:rsid w:val="003A2EC6"/>
    <w:rsid w:val="003A5EBF"/>
    <w:rsid w:val="003C32DE"/>
    <w:rsid w:val="003C4C5F"/>
    <w:rsid w:val="003D7483"/>
    <w:rsid w:val="003E116F"/>
    <w:rsid w:val="003E1F7B"/>
    <w:rsid w:val="003E5A0A"/>
    <w:rsid w:val="003F02D0"/>
    <w:rsid w:val="003F3251"/>
    <w:rsid w:val="003F5ED3"/>
    <w:rsid w:val="004059CF"/>
    <w:rsid w:val="0041661C"/>
    <w:rsid w:val="0042231E"/>
    <w:rsid w:val="00424578"/>
    <w:rsid w:val="00425241"/>
    <w:rsid w:val="004313DB"/>
    <w:rsid w:val="00447088"/>
    <w:rsid w:val="00447E04"/>
    <w:rsid w:val="00450783"/>
    <w:rsid w:val="0046137B"/>
    <w:rsid w:val="0047662C"/>
    <w:rsid w:val="0047790C"/>
    <w:rsid w:val="0048221B"/>
    <w:rsid w:val="004A15E2"/>
    <w:rsid w:val="004C4391"/>
    <w:rsid w:val="004D35DA"/>
    <w:rsid w:val="004D395E"/>
    <w:rsid w:val="004D7664"/>
    <w:rsid w:val="004E087C"/>
    <w:rsid w:val="004E318B"/>
    <w:rsid w:val="004E3AEB"/>
    <w:rsid w:val="004E6BF5"/>
    <w:rsid w:val="004E746A"/>
    <w:rsid w:val="004F05DA"/>
    <w:rsid w:val="004F32D5"/>
    <w:rsid w:val="004F3D53"/>
    <w:rsid w:val="0050233D"/>
    <w:rsid w:val="005027F9"/>
    <w:rsid w:val="00517297"/>
    <w:rsid w:val="00520F98"/>
    <w:rsid w:val="00525044"/>
    <w:rsid w:val="005261CB"/>
    <w:rsid w:val="00533201"/>
    <w:rsid w:val="00535265"/>
    <w:rsid w:val="00541C44"/>
    <w:rsid w:val="0054307A"/>
    <w:rsid w:val="005439F9"/>
    <w:rsid w:val="00545197"/>
    <w:rsid w:val="0054693E"/>
    <w:rsid w:val="00554978"/>
    <w:rsid w:val="00557F34"/>
    <w:rsid w:val="005612D6"/>
    <w:rsid w:val="0056471A"/>
    <w:rsid w:val="00570A61"/>
    <w:rsid w:val="00585C7B"/>
    <w:rsid w:val="005A1A7C"/>
    <w:rsid w:val="005A30E3"/>
    <w:rsid w:val="005B13FA"/>
    <w:rsid w:val="005B512B"/>
    <w:rsid w:val="005B5306"/>
    <w:rsid w:val="005B5FDD"/>
    <w:rsid w:val="005C1061"/>
    <w:rsid w:val="005C272E"/>
    <w:rsid w:val="005C3AE4"/>
    <w:rsid w:val="005C74BF"/>
    <w:rsid w:val="005D1A11"/>
    <w:rsid w:val="005E5FB2"/>
    <w:rsid w:val="005F1B3E"/>
    <w:rsid w:val="005F206A"/>
    <w:rsid w:val="005F2483"/>
    <w:rsid w:val="005F6295"/>
    <w:rsid w:val="00600FB0"/>
    <w:rsid w:val="00602935"/>
    <w:rsid w:val="006067EB"/>
    <w:rsid w:val="00607C95"/>
    <w:rsid w:val="0061688B"/>
    <w:rsid w:val="00624E36"/>
    <w:rsid w:val="00641A6E"/>
    <w:rsid w:val="006576C6"/>
    <w:rsid w:val="00664224"/>
    <w:rsid w:val="006833C2"/>
    <w:rsid w:val="006864FA"/>
    <w:rsid w:val="00696AE3"/>
    <w:rsid w:val="006A58B5"/>
    <w:rsid w:val="006A78F8"/>
    <w:rsid w:val="006B5E36"/>
    <w:rsid w:val="006C708C"/>
    <w:rsid w:val="006D132D"/>
    <w:rsid w:val="006D579D"/>
    <w:rsid w:val="006D600A"/>
    <w:rsid w:val="006E0DCA"/>
    <w:rsid w:val="006E58A5"/>
    <w:rsid w:val="006E7CD0"/>
    <w:rsid w:val="006F038C"/>
    <w:rsid w:val="006F4328"/>
    <w:rsid w:val="007106C5"/>
    <w:rsid w:val="0072191D"/>
    <w:rsid w:val="007233CB"/>
    <w:rsid w:val="00731B69"/>
    <w:rsid w:val="007414B0"/>
    <w:rsid w:val="00743A2D"/>
    <w:rsid w:val="00754619"/>
    <w:rsid w:val="00756A22"/>
    <w:rsid w:val="00761D8C"/>
    <w:rsid w:val="007638A6"/>
    <w:rsid w:val="00773E80"/>
    <w:rsid w:val="00783DA3"/>
    <w:rsid w:val="00787113"/>
    <w:rsid w:val="00794E0E"/>
    <w:rsid w:val="007A18E1"/>
    <w:rsid w:val="007A265B"/>
    <w:rsid w:val="007A578B"/>
    <w:rsid w:val="007B0BA8"/>
    <w:rsid w:val="007C18C1"/>
    <w:rsid w:val="007D1D7C"/>
    <w:rsid w:val="007E0932"/>
    <w:rsid w:val="007E1448"/>
    <w:rsid w:val="007E3BE6"/>
    <w:rsid w:val="007F107F"/>
    <w:rsid w:val="00817385"/>
    <w:rsid w:val="008303B5"/>
    <w:rsid w:val="008331A8"/>
    <w:rsid w:val="00834E51"/>
    <w:rsid w:val="00841E67"/>
    <w:rsid w:val="0085013F"/>
    <w:rsid w:val="00857CD1"/>
    <w:rsid w:val="0086017D"/>
    <w:rsid w:val="00860251"/>
    <w:rsid w:val="00866F03"/>
    <w:rsid w:val="00870533"/>
    <w:rsid w:val="00872CEB"/>
    <w:rsid w:val="00874AB5"/>
    <w:rsid w:val="00882DD1"/>
    <w:rsid w:val="008A1483"/>
    <w:rsid w:val="008A1D38"/>
    <w:rsid w:val="008C2009"/>
    <w:rsid w:val="008C6136"/>
    <w:rsid w:val="008E6578"/>
    <w:rsid w:val="008E766B"/>
    <w:rsid w:val="008E7FA0"/>
    <w:rsid w:val="008F2FB0"/>
    <w:rsid w:val="008F3AF5"/>
    <w:rsid w:val="008F7295"/>
    <w:rsid w:val="0090009D"/>
    <w:rsid w:val="0090779A"/>
    <w:rsid w:val="00916639"/>
    <w:rsid w:val="009219E2"/>
    <w:rsid w:val="00941BB3"/>
    <w:rsid w:val="00945100"/>
    <w:rsid w:val="009527C6"/>
    <w:rsid w:val="00966679"/>
    <w:rsid w:val="0096714E"/>
    <w:rsid w:val="009710D7"/>
    <w:rsid w:val="0097613A"/>
    <w:rsid w:val="009879D8"/>
    <w:rsid w:val="009915D5"/>
    <w:rsid w:val="00991749"/>
    <w:rsid w:val="0099192A"/>
    <w:rsid w:val="00995F27"/>
    <w:rsid w:val="009A0026"/>
    <w:rsid w:val="009A3751"/>
    <w:rsid w:val="009A6D8E"/>
    <w:rsid w:val="009B0BC4"/>
    <w:rsid w:val="009C7A77"/>
    <w:rsid w:val="009D08C4"/>
    <w:rsid w:val="009D57B2"/>
    <w:rsid w:val="009D59CC"/>
    <w:rsid w:val="009E5DCA"/>
    <w:rsid w:val="009E63B8"/>
    <w:rsid w:val="009E755C"/>
    <w:rsid w:val="00A05A88"/>
    <w:rsid w:val="00A12642"/>
    <w:rsid w:val="00A17DC9"/>
    <w:rsid w:val="00A22E34"/>
    <w:rsid w:val="00A27AEE"/>
    <w:rsid w:val="00A3039C"/>
    <w:rsid w:val="00A32086"/>
    <w:rsid w:val="00A33706"/>
    <w:rsid w:val="00A41B48"/>
    <w:rsid w:val="00A440CC"/>
    <w:rsid w:val="00A72479"/>
    <w:rsid w:val="00A7401D"/>
    <w:rsid w:val="00A77AC9"/>
    <w:rsid w:val="00A85C44"/>
    <w:rsid w:val="00A90907"/>
    <w:rsid w:val="00A96139"/>
    <w:rsid w:val="00A968C5"/>
    <w:rsid w:val="00AC06EF"/>
    <w:rsid w:val="00AC35D4"/>
    <w:rsid w:val="00AE6A28"/>
    <w:rsid w:val="00AF0812"/>
    <w:rsid w:val="00B10F7D"/>
    <w:rsid w:val="00B1330D"/>
    <w:rsid w:val="00B22044"/>
    <w:rsid w:val="00B226BA"/>
    <w:rsid w:val="00B229D9"/>
    <w:rsid w:val="00B24505"/>
    <w:rsid w:val="00B27E6C"/>
    <w:rsid w:val="00B311FB"/>
    <w:rsid w:val="00B51C72"/>
    <w:rsid w:val="00B531CF"/>
    <w:rsid w:val="00B544C6"/>
    <w:rsid w:val="00B568CE"/>
    <w:rsid w:val="00B56E14"/>
    <w:rsid w:val="00B56E26"/>
    <w:rsid w:val="00B57364"/>
    <w:rsid w:val="00B857D4"/>
    <w:rsid w:val="00B9696A"/>
    <w:rsid w:val="00BA15CD"/>
    <w:rsid w:val="00BA1AE7"/>
    <w:rsid w:val="00BA6E28"/>
    <w:rsid w:val="00BB191C"/>
    <w:rsid w:val="00BB5B75"/>
    <w:rsid w:val="00BB62AD"/>
    <w:rsid w:val="00BC1C29"/>
    <w:rsid w:val="00BC53CD"/>
    <w:rsid w:val="00BD08CF"/>
    <w:rsid w:val="00BE7B08"/>
    <w:rsid w:val="00BF7668"/>
    <w:rsid w:val="00C00A81"/>
    <w:rsid w:val="00C05783"/>
    <w:rsid w:val="00C07794"/>
    <w:rsid w:val="00C11FEF"/>
    <w:rsid w:val="00C138F5"/>
    <w:rsid w:val="00C142F2"/>
    <w:rsid w:val="00C26BE4"/>
    <w:rsid w:val="00C42136"/>
    <w:rsid w:val="00C56C2D"/>
    <w:rsid w:val="00C66BF3"/>
    <w:rsid w:val="00C702DF"/>
    <w:rsid w:val="00C7265F"/>
    <w:rsid w:val="00C82757"/>
    <w:rsid w:val="00C91E1F"/>
    <w:rsid w:val="00C96033"/>
    <w:rsid w:val="00C97975"/>
    <w:rsid w:val="00CA5FF6"/>
    <w:rsid w:val="00CA62F0"/>
    <w:rsid w:val="00CA680F"/>
    <w:rsid w:val="00CB5E70"/>
    <w:rsid w:val="00CC26A5"/>
    <w:rsid w:val="00CD58DF"/>
    <w:rsid w:val="00CD5CB4"/>
    <w:rsid w:val="00CE2243"/>
    <w:rsid w:val="00CE3D46"/>
    <w:rsid w:val="00CE4DD4"/>
    <w:rsid w:val="00CF2F96"/>
    <w:rsid w:val="00CF7120"/>
    <w:rsid w:val="00D0201E"/>
    <w:rsid w:val="00D11A8A"/>
    <w:rsid w:val="00D151D5"/>
    <w:rsid w:val="00D17E1E"/>
    <w:rsid w:val="00D20D62"/>
    <w:rsid w:val="00D2117B"/>
    <w:rsid w:val="00D268D0"/>
    <w:rsid w:val="00D46A70"/>
    <w:rsid w:val="00D53F8A"/>
    <w:rsid w:val="00D56B19"/>
    <w:rsid w:val="00D62808"/>
    <w:rsid w:val="00D659A9"/>
    <w:rsid w:val="00D71BB9"/>
    <w:rsid w:val="00D723B9"/>
    <w:rsid w:val="00D74F0C"/>
    <w:rsid w:val="00D75E3E"/>
    <w:rsid w:val="00D764ED"/>
    <w:rsid w:val="00D767A8"/>
    <w:rsid w:val="00D90940"/>
    <w:rsid w:val="00D93A7F"/>
    <w:rsid w:val="00DA361F"/>
    <w:rsid w:val="00DA61BE"/>
    <w:rsid w:val="00DA6F99"/>
    <w:rsid w:val="00DB5651"/>
    <w:rsid w:val="00DC1A71"/>
    <w:rsid w:val="00DD386E"/>
    <w:rsid w:val="00DD4AF7"/>
    <w:rsid w:val="00DD7990"/>
    <w:rsid w:val="00DE14D1"/>
    <w:rsid w:val="00DE2368"/>
    <w:rsid w:val="00DE25D6"/>
    <w:rsid w:val="00DF016B"/>
    <w:rsid w:val="00DF11AC"/>
    <w:rsid w:val="00DF1509"/>
    <w:rsid w:val="00DF1733"/>
    <w:rsid w:val="00DF7FCA"/>
    <w:rsid w:val="00E01A47"/>
    <w:rsid w:val="00E04907"/>
    <w:rsid w:val="00E07FF7"/>
    <w:rsid w:val="00E173A9"/>
    <w:rsid w:val="00E22188"/>
    <w:rsid w:val="00E22A1A"/>
    <w:rsid w:val="00E33676"/>
    <w:rsid w:val="00E336C1"/>
    <w:rsid w:val="00E4017B"/>
    <w:rsid w:val="00E44E73"/>
    <w:rsid w:val="00E529CF"/>
    <w:rsid w:val="00E53144"/>
    <w:rsid w:val="00E53AD4"/>
    <w:rsid w:val="00E5435E"/>
    <w:rsid w:val="00E54EC0"/>
    <w:rsid w:val="00E64D41"/>
    <w:rsid w:val="00E73BAE"/>
    <w:rsid w:val="00E73BD3"/>
    <w:rsid w:val="00E76695"/>
    <w:rsid w:val="00E83028"/>
    <w:rsid w:val="00E83D1F"/>
    <w:rsid w:val="00E8408C"/>
    <w:rsid w:val="00E86308"/>
    <w:rsid w:val="00EB3B80"/>
    <w:rsid w:val="00EC1842"/>
    <w:rsid w:val="00EC433C"/>
    <w:rsid w:val="00EC4C9C"/>
    <w:rsid w:val="00EC58BE"/>
    <w:rsid w:val="00EC7BC0"/>
    <w:rsid w:val="00ED0009"/>
    <w:rsid w:val="00ED05ED"/>
    <w:rsid w:val="00ED2DCA"/>
    <w:rsid w:val="00ED7805"/>
    <w:rsid w:val="00EE733C"/>
    <w:rsid w:val="00EF2CE5"/>
    <w:rsid w:val="00EF601A"/>
    <w:rsid w:val="00EF6256"/>
    <w:rsid w:val="00EF635F"/>
    <w:rsid w:val="00F003A7"/>
    <w:rsid w:val="00F0084C"/>
    <w:rsid w:val="00F06036"/>
    <w:rsid w:val="00F06302"/>
    <w:rsid w:val="00F068CF"/>
    <w:rsid w:val="00F21CDA"/>
    <w:rsid w:val="00F23560"/>
    <w:rsid w:val="00F26A71"/>
    <w:rsid w:val="00F30C6A"/>
    <w:rsid w:val="00F326AE"/>
    <w:rsid w:val="00F34989"/>
    <w:rsid w:val="00F40E00"/>
    <w:rsid w:val="00F43ED1"/>
    <w:rsid w:val="00F458D8"/>
    <w:rsid w:val="00F54F13"/>
    <w:rsid w:val="00F61621"/>
    <w:rsid w:val="00F6690D"/>
    <w:rsid w:val="00F71557"/>
    <w:rsid w:val="00F75246"/>
    <w:rsid w:val="00F80F12"/>
    <w:rsid w:val="00F83AF3"/>
    <w:rsid w:val="00F84632"/>
    <w:rsid w:val="00F9482E"/>
    <w:rsid w:val="00F979CE"/>
    <w:rsid w:val="00FA375D"/>
    <w:rsid w:val="00FB5181"/>
    <w:rsid w:val="00FC6B8D"/>
    <w:rsid w:val="00FD2FA2"/>
    <w:rsid w:val="00FD6E55"/>
    <w:rsid w:val="00FE08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8FE05"/>
  <w15:docId w15:val="{2750C67F-48E8-4B45-AC08-3FA080FD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A58B5"/>
    <w:pPr>
      <w:ind w:left="720"/>
      <w:contextualSpacing/>
    </w:pPr>
  </w:style>
  <w:style w:type="paragraph" w:styleId="Bezproreda">
    <w:name w:val="No Spacing"/>
    <w:uiPriority w:val="1"/>
    <w:qFormat/>
    <w:rsid w:val="00874AB5"/>
    <w:pPr>
      <w:spacing w:after="0" w:line="240" w:lineRule="auto"/>
    </w:pPr>
  </w:style>
  <w:style w:type="paragraph" w:styleId="Tekstbalonia">
    <w:name w:val="Balloon Text"/>
    <w:basedOn w:val="Normal"/>
    <w:link w:val="TekstbaloniaChar"/>
    <w:uiPriority w:val="99"/>
    <w:semiHidden/>
    <w:unhideWhenUsed/>
    <w:rsid w:val="00EC433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C433C"/>
    <w:rPr>
      <w:rFonts w:ascii="Segoe UI" w:hAnsi="Segoe UI" w:cs="Segoe UI"/>
      <w:sz w:val="18"/>
      <w:szCs w:val="18"/>
    </w:rPr>
  </w:style>
  <w:style w:type="paragraph" w:styleId="Zaglavlje">
    <w:name w:val="header"/>
    <w:basedOn w:val="Normal"/>
    <w:link w:val="ZaglavljeChar"/>
    <w:uiPriority w:val="99"/>
    <w:unhideWhenUsed/>
    <w:rsid w:val="00DF7FC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F7FCA"/>
  </w:style>
  <w:style w:type="paragraph" w:styleId="Podnoje">
    <w:name w:val="footer"/>
    <w:basedOn w:val="Normal"/>
    <w:link w:val="PodnojeChar"/>
    <w:uiPriority w:val="99"/>
    <w:unhideWhenUsed/>
    <w:rsid w:val="00DF7FC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F7FCA"/>
  </w:style>
  <w:style w:type="table" w:styleId="Reetkatablice">
    <w:name w:val="Table Grid"/>
    <w:basedOn w:val="Obinatablica"/>
    <w:uiPriority w:val="59"/>
    <w:rsid w:val="00857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6BC6F-0B01-4CCD-B109-D9691B3B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2685</TotalTime>
  <Pages>8</Pages>
  <Words>3967</Words>
  <Characters>22614</Characters>
  <Application>Microsoft Office Word</Application>
  <DocSecurity>0</DocSecurity>
  <Lines>188</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Biserka</cp:lastModifiedBy>
  <cp:revision>239</cp:revision>
  <cp:lastPrinted>2023-01-31T13:09:00Z</cp:lastPrinted>
  <dcterms:created xsi:type="dcterms:W3CDTF">2017-01-29T13:41:00Z</dcterms:created>
  <dcterms:modified xsi:type="dcterms:W3CDTF">2023-01-31T13:20:00Z</dcterms:modified>
</cp:coreProperties>
</file>