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64338" w14:textId="77777777" w:rsidR="00874AB5" w:rsidRDefault="00874AB5" w:rsidP="00874AB5">
      <w:pPr>
        <w:pStyle w:val="Bezproreda"/>
      </w:pPr>
      <w:r>
        <w:t>Naziv obveznika: OSNOVNA ŠKOLA „LJUDEVIT GAJ“ KRAPINA</w:t>
      </w:r>
      <w:r>
        <w:tab/>
      </w:r>
      <w:r>
        <w:tab/>
        <w:t>Broj RKP-a: 15866</w:t>
      </w:r>
    </w:p>
    <w:p w14:paraId="7B4D8D63" w14:textId="77777777" w:rsidR="00874AB5" w:rsidRDefault="00874AB5" w:rsidP="00874AB5">
      <w:pPr>
        <w:pStyle w:val="Bezproreda"/>
      </w:pPr>
      <w:r>
        <w:t xml:space="preserve">Sjedište obveznika: </w:t>
      </w:r>
      <w:r w:rsidR="000D1580">
        <w:t xml:space="preserve">49000 </w:t>
      </w:r>
      <w:r>
        <w:t>KRAPINA</w:t>
      </w:r>
      <w:r>
        <w:tab/>
      </w:r>
      <w:r>
        <w:tab/>
      </w:r>
      <w:r>
        <w:tab/>
      </w:r>
      <w:r>
        <w:tab/>
      </w:r>
      <w:r>
        <w:tab/>
        <w:t>Matični broj: 03079589</w:t>
      </w:r>
    </w:p>
    <w:p w14:paraId="69360B32" w14:textId="77777777" w:rsidR="00874AB5" w:rsidRDefault="00874AB5" w:rsidP="00874AB5">
      <w:pPr>
        <w:pStyle w:val="Bezproreda"/>
      </w:pPr>
      <w:r>
        <w:t>Adresa sjedišta obveznika: TRG STJEPANA RADIĆA 1, KRAPINA</w:t>
      </w:r>
      <w:r>
        <w:tab/>
      </w:r>
      <w:r>
        <w:tab/>
        <w:t>OIB: 68206344969</w:t>
      </w:r>
    </w:p>
    <w:p w14:paraId="59585D4C" w14:textId="77777777" w:rsidR="00874AB5" w:rsidRDefault="00874AB5" w:rsidP="00874AB5">
      <w:pPr>
        <w:pStyle w:val="Bezproreda"/>
      </w:pPr>
      <w:r>
        <w:t>Razina: 31</w:t>
      </w:r>
      <w:r>
        <w:tab/>
      </w:r>
      <w:r>
        <w:tab/>
      </w:r>
      <w:r>
        <w:tab/>
      </w:r>
      <w:r>
        <w:tab/>
      </w:r>
      <w:r>
        <w:tab/>
      </w:r>
      <w:r>
        <w:tab/>
      </w:r>
      <w:r>
        <w:tab/>
      </w:r>
      <w:r>
        <w:tab/>
        <w:t>Šifra djelatnosti: 8520</w:t>
      </w:r>
    </w:p>
    <w:p w14:paraId="2E00082C" w14:textId="77777777" w:rsidR="00874AB5" w:rsidRDefault="00874AB5">
      <w:r>
        <w:t>Razdjel: 000</w:t>
      </w:r>
    </w:p>
    <w:p w14:paraId="52465879" w14:textId="77777777" w:rsidR="000D1580" w:rsidRDefault="00E529CF" w:rsidP="000D1580">
      <w:pPr>
        <w:jc w:val="center"/>
      </w:pPr>
      <w:r>
        <w:t>BILJEŠKE UZ FINANCIJSKE IZVJEŠTAJE</w:t>
      </w:r>
    </w:p>
    <w:p w14:paraId="6FBD07A6" w14:textId="54D42165" w:rsidR="008504BF" w:rsidRDefault="00E529CF" w:rsidP="000D1580">
      <w:pPr>
        <w:jc w:val="center"/>
      </w:pPr>
      <w:r>
        <w:t>ZA RAZDOBLJE OD 01.SIJEČNJA DO 31. PROSINCA 20</w:t>
      </w:r>
      <w:r w:rsidR="00C138F5">
        <w:t>2</w:t>
      </w:r>
      <w:r w:rsidR="006833C2">
        <w:t>1</w:t>
      </w:r>
      <w:r>
        <w:t>. GODINE</w:t>
      </w:r>
    </w:p>
    <w:p w14:paraId="41DB6883" w14:textId="644AD916" w:rsidR="00E529CF" w:rsidRPr="00624E36" w:rsidRDefault="00E529CF">
      <w:pPr>
        <w:rPr>
          <w:sz w:val="20"/>
          <w:szCs w:val="20"/>
        </w:rPr>
      </w:pPr>
      <w:r>
        <w:t xml:space="preserve">Osnovna škola „Ljudevit Gaj“ Krapina posluje u skladu sa Zakonom o odgoju i obrazovanju u osnovnoj i srednjoj školi te Statutom škole. Vodi proračunsko računovodstvo temeljem Pravilnika o proračunskom računovodstvu i Računskom planu, a financijske izvještaje </w:t>
      </w:r>
      <w:r w:rsidR="001841F1">
        <w:t xml:space="preserve">i Bilješke uz financijske izvještaje </w:t>
      </w:r>
      <w:r>
        <w:t xml:space="preserve">sastavlja i predaje u skladu s </w:t>
      </w:r>
      <w:r w:rsidR="00624E36">
        <w:t xml:space="preserve">čl.105 Zakona o proračunu (NN 87/08.,136/12.,15/15.), te </w:t>
      </w:r>
      <w:r>
        <w:t>odredbama Pravilnika o financijskom izvješćivanju u proračunskom računovodstvu</w:t>
      </w:r>
      <w:r w:rsidR="001841F1">
        <w:t xml:space="preserve"> </w:t>
      </w:r>
      <w:r w:rsidR="001841F1" w:rsidRPr="00624E36">
        <w:rPr>
          <w:sz w:val="20"/>
          <w:szCs w:val="20"/>
        </w:rPr>
        <w:t>(NN</w:t>
      </w:r>
      <w:r w:rsidR="00624E36" w:rsidRPr="00624E36">
        <w:rPr>
          <w:sz w:val="20"/>
          <w:szCs w:val="20"/>
        </w:rPr>
        <w:t xml:space="preserve"> 3</w:t>
      </w:r>
      <w:r w:rsidR="001841F1" w:rsidRPr="00624E36">
        <w:rPr>
          <w:sz w:val="20"/>
          <w:szCs w:val="20"/>
        </w:rPr>
        <w:t>/15.,93/15.,135/15.,2/17.,38/17.,112/18.,126/19.,145/20.,32/21.)</w:t>
      </w:r>
      <w:r w:rsidR="00624E36">
        <w:rPr>
          <w:sz w:val="20"/>
          <w:szCs w:val="20"/>
        </w:rPr>
        <w:t>. Odgovorna osoba škole je Vlatka Družinec.</w:t>
      </w:r>
    </w:p>
    <w:p w14:paraId="45DE15DE" w14:textId="41C6340E" w:rsidR="00C138F5" w:rsidRDefault="006A58B5" w:rsidP="00C138F5">
      <w:pPr>
        <w:pStyle w:val="Odlomakpopisa"/>
        <w:numPr>
          <w:ilvl w:val="0"/>
          <w:numId w:val="1"/>
        </w:numPr>
        <w:rPr>
          <w:b/>
        </w:rPr>
      </w:pPr>
      <w:r w:rsidRPr="00DF11AC">
        <w:rPr>
          <w:b/>
        </w:rPr>
        <w:t>Bilješke uz Bilancu</w:t>
      </w:r>
    </w:p>
    <w:p w14:paraId="6BC7C730" w14:textId="1BA12C42" w:rsidR="00C138F5" w:rsidRDefault="00C138F5" w:rsidP="00C138F5">
      <w:pPr>
        <w:pStyle w:val="Bezproreda"/>
      </w:pPr>
      <w:r w:rsidRPr="00B568CE">
        <w:rPr>
          <w:u w:val="single"/>
        </w:rPr>
        <w:t>Bilješka broj 1</w:t>
      </w:r>
      <w:r w:rsidR="00DA361F">
        <w:t xml:space="preserve"> </w:t>
      </w:r>
      <w:r>
        <w:t>-</w:t>
      </w:r>
      <w:r w:rsidR="00DA361F">
        <w:t xml:space="preserve"> </w:t>
      </w:r>
      <w:r>
        <w:t>AOP 010 Poslovni objekti</w:t>
      </w:r>
      <w:r w:rsidR="00B24505">
        <w:t xml:space="preserve"> </w:t>
      </w:r>
      <w:r>
        <w:t>-</w:t>
      </w:r>
      <w:r w:rsidR="00B24505">
        <w:t xml:space="preserve"> </w:t>
      </w:r>
      <w:r>
        <w:t>stanje na dan 31.12.202</w:t>
      </w:r>
      <w:r w:rsidR="006833C2">
        <w:t>1</w:t>
      </w:r>
      <w:r>
        <w:t>. povećano je u odnosu na 01.01.202</w:t>
      </w:r>
      <w:r w:rsidR="006833C2">
        <w:t>1</w:t>
      </w:r>
      <w:r>
        <w:t xml:space="preserve">. zbog izvršenih dodatnih ulaganja na zgradi škole, odnosno </w:t>
      </w:r>
      <w:r w:rsidR="006833C2">
        <w:t>povećanj</w:t>
      </w:r>
      <w:r w:rsidR="00257836">
        <w:t>a</w:t>
      </w:r>
      <w:r w:rsidR="006833C2">
        <w:t xml:space="preserve"> mehaničke stabilnosti i sanacija </w:t>
      </w:r>
      <w:r w:rsidR="00F40E00">
        <w:t xml:space="preserve">štete nastale nakon potresa na </w:t>
      </w:r>
      <w:r w:rsidR="006833C2">
        <w:t>sportsk</w:t>
      </w:r>
      <w:r w:rsidR="00F40E00">
        <w:t>oj</w:t>
      </w:r>
      <w:r w:rsidR="006833C2">
        <w:t xml:space="preserve"> dvoran</w:t>
      </w:r>
      <w:r w:rsidR="00F40E00">
        <w:t>i</w:t>
      </w:r>
      <w:r w:rsidR="006833C2">
        <w:t xml:space="preserve"> </w:t>
      </w:r>
      <w:r w:rsidR="00F40E00">
        <w:t xml:space="preserve">te prilaznih staza te </w:t>
      </w:r>
      <w:r>
        <w:t xml:space="preserve">izvršenoj izmjeni </w:t>
      </w:r>
      <w:r w:rsidR="006833C2">
        <w:t>unutarnje stolarije-vrata u prizemlju matične škole u Krapini</w:t>
      </w:r>
      <w:r>
        <w:t>.</w:t>
      </w:r>
    </w:p>
    <w:p w14:paraId="0E7B4431" w14:textId="52A7005C" w:rsidR="004E6BF5" w:rsidRDefault="000B46D0" w:rsidP="003A5EBF">
      <w:pPr>
        <w:pStyle w:val="Bezproreda"/>
      </w:pPr>
      <w:r w:rsidRPr="00B568CE">
        <w:rPr>
          <w:u w:val="single"/>
        </w:rPr>
        <w:t xml:space="preserve">Bilješka broj </w:t>
      </w:r>
      <w:r w:rsidR="00F003A7" w:rsidRPr="00B568CE">
        <w:rPr>
          <w:u w:val="single"/>
        </w:rPr>
        <w:t>2</w:t>
      </w:r>
      <w:r>
        <w:t xml:space="preserve"> – AOP 015 Uredska oprema i namještaj-  stanje na d</w:t>
      </w:r>
      <w:r w:rsidR="00607C95">
        <w:t>an 31.12. 20</w:t>
      </w:r>
      <w:r w:rsidR="00C138F5">
        <w:t>2</w:t>
      </w:r>
      <w:r w:rsidR="00F003A7">
        <w:t>1</w:t>
      </w:r>
      <w:r w:rsidR="00607C95">
        <w:t xml:space="preserve">. </w:t>
      </w:r>
      <w:r w:rsidR="00C138F5">
        <w:t>povećano</w:t>
      </w:r>
      <w:r w:rsidR="00B544C6">
        <w:t xml:space="preserve"> je u odnosu na dan 01.01.20</w:t>
      </w:r>
      <w:r w:rsidR="00C138F5">
        <w:t>20</w:t>
      </w:r>
      <w:r w:rsidR="004E6BF5">
        <w:t xml:space="preserve">. zbog </w:t>
      </w:r>
      <w:r w:rsidR="00C138F5">
        <w:t>nabave novih računala i školskog namještaja</w:t>
      </w:r>
      <w:r w:rsidR="00B311FB">
        <w:t>.</w:t>
      </w:r>
    </w:p>
    <w:p w14:paraId="29F3C6EC" w14:textId="7AA75A61" w:rsidR="00B311FB" w:rsidRDefault="00B311FB" w:rsidP="00B311FB">
      <w:pPr>
        <w:pStyle w:val="Bezproreda"/>
      </w:pPr>
      <w:r w:rsidRPr="00B568CE">
        <w:rPr>
          <w:u w:val="single"/>
        </w:rPr>
        <w:t xml:space="preserve">Bilješka broj </w:t>
      </w:r>
      <w:r w:rsidR="00F003A7" w:rsidRPr="00B568CE">
        <w:rPr>
          <w:u w:val="single"/>
        </w:rPr>
        <w:t>3</w:t>
      </w:r>
      <w:r>
        <w:t xml:space="preserve"> – AOP 016 Komunikacijska oprema -</w:t>
      </w:r>
      <w:r w:rsidRPr="00B311FB">
        <w:t xml:space="preserve"> </w:t>
      </w:r>
      <w:r>
        <w:t>stanje na dan 31.12.20</w:t>
      </w:r>
      <w:r w:rsidR="00C138F5">
        <w:t>2</w:t>
      </w:r>
      <w:r w:rsidR="00F003A7">
        <w:t>1</w:t>
      </w:r>
      <w:r>
        <w:t>. smanjeno je u odnosu na dan 01.01.20</w:t>
      </w:r>
      <w:r w:rsidR="00D151D5">
        <w:t>2</w:t>
      </w:r>
      <w:r w:rsidR="00F003A7">
        <w:t>1</w:t>
      </w:r>
      <w:r>
        <w:t>. zbog izvršenog otpisa stare i neupotrebljive opreme nakon provedene inventure.</w:t>
      </w:r>
    </w:p>
    <w:p w14:paraId="218AAD2D" w14:textId="3BCB45B9" w:rsidR="00F003A7" w:rsidRDefault="00F003A7" w:rsidP="00B311FB">
      <w:pPr>
        <w:pStyle w:val="Bezproreda"/>
      </w:pPr>
      <w:r w:rsidRPr="00B568CE">
        <w:rPr>
          <w:u w:val="single"/>
        </w:rPr>
        <w:t>Bilješka broj 4</w:t>
      </w:r>
      <w:r>
        <w:t xml:space="preserve"> – AOP020 Sportska i glazbena oprema – stanje na dan 31.12.2021. povećano u odnosu na dan 01.01.2021. zbog nabave vanjskih golova za PŠ Donja Šemnica.</w:t>
      </w:r>
    </w:p>
    <w:p w14:paraId="08230B47" w14:textId="2E968CA2" w:rsidR="00B311FB" w:rsidRDefault="00B311FB" w:rsidP="00B311FB">
      <w:pPr>
        <w:pStyle w:val="Bezproreda"/>
      </w:pPr>
      <w:r w:rsidRPr="00B568CE">
        <w:rPr>
          <w:u w:val="single"/>
        </w:rPr>
        <w:t xml:space="preserve">Bilješka broj </w:t>
      </w:r>
      <w:r w:rsidR="00D151D5" w:rsidRPr="00B568CE">
        <w:rPr>
          <w:u w:val="single"/>
        </w:rPr>
        <w:t>5</w:t>
      </w:r>
      <w:r>
        <w:t xml:space="preserve"> – AOP 02</w:t>
      </w:r>
      <w:r w:rsidR="00D151D5">
        <w:t>1</w:t>
      </w:r>
      <w:r>
        <w:t xml:space="preserve"> </w:t>
      </w:r>
      <w:r w:rsidR="00D151D5">
        <w:t>Uređaji, strojevi i oprema za ostale namjene</w:t>
      </w:r>
      <w:r>
        <w:t xml:space="preserve"> - stanje na dan 31.12. 20</w:t>
      </w:r>
      <w:r w:rsidR="00D151D5">
        <w:t>2</w:t>
      </w:r>
      <w:r w:rsidR="00F003A7">
        <w:t>1</w:t>
      </w:r>
      <w:r>
        <w:t xml:space="preserve">. </w:t>
      </w:r>
      <w:r w:rsidR="00D151D5">
        <w:t>povećano</w:t>
      </w:r>
      <w:r>
        <w:t xml:space="preserve"> je u odnosu na dan 01.01.20</w:t>
      </w:r>
      <w:r w:rsidR="00D151D5">
        <w:t>2</w:t>
      </w:r>
      <w:r w:rsidR="00F003A7">
        <w:t>1</w:t>
      </w:r>
      <w:r>
        <w:t xml:space="preserve">. zbog </w:t>
      </w:r>
      <w:r w:rsidR="00D151D5">
        <w:t>nabave nov</w:t>
      </w:r>
      <w:r w:rsidR="00F003A7">
        <w:t xml:space="preserve">ih </w:t>
      </w:r>
      <w:r w:rsidR="006E7CD0">
        <w:t>dokument kamer</w:t>
      </w:r>
      <w:r w:rsidR="00F003A7">
        <w:t>a, elektronike za poteznu lesu</w:t>
      </w:r>
      <w:r w:rsidR="00257836">
        <w:t>,</w:t>
      </w:r>
      <w:r w:rsidR="00F003A7">
        <w:t xml:space="preserve"> te prijenosa imovine odnosno stolova i klupa za učionicu na otvorenome od strane osnivača, Grada Krapine.</w:t>
      </w:r>
    </w:p>
    <w:p w14:paraId="43745778" w14:textId="05850C4F" w:rsidR="009A6D8E" w:rsidRDefault="000B6E3D" w:rsidP="003A5EBF">
      <w:pPr>
        <w:pStyle w:val="Bezproreda"/>
      </w:pPr>
      <w:r w:rsidRPr="00B568CE">
        <w:rPr>
          <w:u w:val="single"/>
        </w:rPr>
        <w:t>Bilješka broj</w:t>
      </w:r>
      <w:r w:rsidR="00D151D5" w:rsidRPr="00B568CE">
        <w:rPr>
          <w:u w:val="single"/>
        </w:rPr>
        <w:t xml:space="preserve"> 6</w:t>
      </w:r>
      <w:r w:rsidR="009A6D8E">
        <w:t xml:space="preserve"> – AOP 031 </w:t>
      </w:r>
      <w:r w:rsidR="005F1B3E">
        <w:t>K</w:t>
      </w:r>
      <w:r w:rsidR="009A6D8E">
        <w:t>njige</w:t>
      </w:r>
      <w:r w:rsidR="001B4C29">
        <w:t xml:space="preserve"> -</w:t>
      </w:r>
      <w:r w:rsidR="009A6D8E">
        <w:t xml:space="preserve"> stanje na dan 31.12.20</w:t>
      </w:r>
      <w:r w:rsidR="00D151D5">
        <w:t>2</w:t>
      </w:r>
      <w:r w:rsidR="00F003A7">
        <w:t>1</w:t>
      </w:r>
      <w:r w:rsidR="009A6D8E">
        <w:t>. uvećano je u odnosu na 01.01.20</w:t>
      </w:r>
      <w:r w:rsidR="00D151D5">
        <w:t>2</w:t>
      </w:r>
      <w:r w:rsidR="00F003A7">
        <w:t>1</w:t>
      </w:r>
      <w:r w:rsidR="009A6D8E">
        <w:t xml:space="preserve">. zbog nabave </w:t>
      </w:r>
      <w:r w:rsidR="00447088">
        <w:t xml:space="preserve">udžbenika za sve učenike škole (primljena sredstva od MZO-a) i nabave novih knjiga </w:t>
      </w:r>
      <w:r w:rsidR="00CF2F96">
        <w:t xml:space="preserve">i stručne literature </w:t>
      </w:r>
      <w:r w:rsidR="00447088">
        <w:t>za školsku</w:t>
      </w:r>
      <w:r w:rsidR="00F068CF">
        <w:t xml:space="preserve"> </w:t>
      </w:r>
      <w:r w:rsidR="009A6D8E">
        <w:t>knjižnicu</w:t>
      </w:r>
      <w:r w:rsidR="00EC4C9C">
        <w:t xml:space="preserve"> (primljena sredstva od MZO-a i Grada Krapine)</w:t>
      </w:r>
      <w:r w:rsidR="00447088">
        <w:t xml:space="preserve"> te</w:t>
      </w:r>
      <w:r w:rsidR="009A6D8E">
        <w:t xml:space="preserve"> zbog darovanih knjiga.</w:t>
      </w:r>
    </w:p>
    <w:p w14:paraId="614C64AB" w14:textId="0044CF7C" w:rsidR="00447088" w:rsidRDefault="00447088" w:rsidP="003A5EBF">
      <w:pPr>
        <w:pStyle w:val="Bezproreda"/>
      </w:pPr>
      <w:r w:rsidRPr="00B568CE">
        <w:rPr>
          <w:u w:val="single"/>
        </w:rPr>
        <w:t xml:space="preserve">Bilješka broj </w:t>
      </w:r>
      <w:r w:rsidR="00D151D5" w:rsidRPr="00B568CE">
        <w:rPr>
          <w:u w:val="single"/>
        </w:rPr>
        <w:t>7</w:t>
      </w:r>
      <w:r w:rsidR="00116819">
        <w:t xml:space="preserve"> – AOP 035</w:t>
      </w:r>
      <w:r>
        <w:t xml:space="preserve"> Ispravak vrijednosti knjiga, umjetničkih djela i ostalih izložbenih vrijednosti- stanje na dan 31.12.20</w:t>
      </w:r>
      <w:r w:rsidR="00D151D5">
        <w:t>2</w:t>
      </w:r>
      <w:r w:rsidR="00F003A7">
        <w:t>1.</w:t>
      </w:r>
      <w:r>
        <w:t xml:space="preserve"> uvećano u odnosu na 01.01.20</w:t>
      </w:r>
      <w:r w:rsidR="00D151D5">
        <w:t>2</w:t>
      </w:r>
      <w:r w:rsidR="00F003A7">
        <w:t>1</w:t>
      </w:r>
      <w:r>
        <w:t xml:space="preserve">. zbog odluke škole da se svi </w:t>
      </w:r>
      <w:r w:rsidR="00D151D5">
        <w:t xml:space="preserve"> nabavljeni </w:t>
      </w:r>
      <w:r>
        <w:t>udžbenici otpišu jednokratno</w:t>
      </w:r>
      <w:r w:rsidR="006E7CD0">
        <w:t xml:space="preserve"> u 100% iznosu</w:t>
      </w:r>
      <w:r w:rsidR="00966679">
        <w:t>, te redovnog otpisa knjiga u školskoj knjižnici.</w:t>
      </w:r>
    </w:p>
    <w:p w14:paraId="4ABED84D" w14:textId="06C03975" w:rsidR="00B544C6" w:rsidRDefault="00EC4C9C" w:rsidP="00B544C6">
      <w:pPr>
        <w:pStyle w:val="Bezproreda"/>
      </w:pPr>
      <w:r w:rsidRPr="00B568CE">
        <w:rPr>
          <w:u w:val="single"/>
        </w:rPr>
        <w:t xml:space="preserve">Bilješka broj </w:t>
      </w:r>
      <w:r w:rsidR="00D151D5" w:rsidRPr="00B568CE">
        <w:rPr>
          <w:u w:val="single"/>
        </w:rPr>
        <w:t>8</w:t>
      </w:r>
      <w:r w:rsidR="005F1B3E">
        <w:t xml:space="preserve"> – AOP</w:t>
      </w:r>
      <w:r w:rsidR="00B544C6">
        <w:t xml:space="preserve"> 049 Sitni inventar</w:t>
      </w:r>
      <w:r w:rsidR="001B4C29">
        <w:t xml:space="preserve"> -</w:t>
      </w:r>
      <w:r w:rsidR="00B544C6">
        <w:t xml:space="preserve"> povećan je u odnosu na stanje 01.01.20</w:t>
      </w:r>
      <w:r w:rsidR="00D151D5">
        <w:t>2</w:t>
      </w:r>
      <w:r w:rsidR="00F003A7">
        <w:t>1</w:t>
      </w:r>
      <w:r w:rsidR="00B544C6">
        <w:t>. zbog nabave novog sitnog i</w:t>
      </w:r>
      <w:r w:rsidR="00447088">
        <w:t>nventara potrebnog za rad škole.</w:t>
      </w:r>
    </w:p>
    <w:p w14:paraId="6DB4AD62" w14:textId="2D499951" w:rsidR="00DB5651" w:rsidRDefault="00EC4C9C" w:rsidP="003A5EBF">
      <w:pPr>
        <w:pStyle w:val="Bezproreda"/>
      </w:pPr>
      <w:r w:rsidRPr="00B568CE">
        <w:rPr>
          <w:u w:val="single"/>
        </w:rPr>
        <w:t>Bilješka broj</w:t>
      </w:r>
      <w:r w:rsidR="00C7265F" w:rsidRPr="00B568CE">
        <w:rPr>
          <w:u w:val="single"/>
        </w:rPr>
        <w:t xml:space="preserve"> </w:t>
      </w:r>
      <w:r w:rsidR="00DA361F" w:rsidRPr="00B568CE">
        <w:rPr>
          <w:u w:val="single"/>
        </w:rPr>
        <w:t>9</w:t>
      </w:r>
      <w:r w:rsidR="00DB5651">
        <w:t xml:space="preserve"> – AOP 067 Novac na računu – stanje 31.12.20</w:t>
      </w:r>
      <w:r w:rsidR="00C7265F">
        <w:t>2</w:t>
      </w:r>
      <w:r w:rsidR="00BA6E28">
        <w:t>1.</w:t>
      </w:r>
      <w:r w:rsidR="00C7265F">
        <w:t xml:space="preserve"> </w:t>
      </w:r>
      <w:r>
        <w:t xml:space="preserve"> </w:t>
      </w:r>
      <w:r w:rsidR="00BA6E28">
        <w:t>već</w:t>
      </w:r>
      <w:r w:rsidR="00447088">
        <w:t>e</w:t>
      </w:r>
      <w:r>
        <w:t xml:space="preserve"> je</w:t>
      </w:r>
      <w:r w:rsidR="00DB5651">
        <w:t xml:space="preserve"> nego stanje 01.01.20</w:t>
      </w:r>
      <w:r w:rsidR="00C7265F">
        <w:t>2</w:t>
      </w:r>
      <w:r w:rsidR="00BA6E28">
        <w:t>1</w:t>
      </w:r>
      <w:r w:rsidR="00DB5651">
        <w:t>.</w:t>
      </w:r>
      <w:r w:rsidR="00047108">
        <w:t xml:space="preserve"> i odgovara izvodu banke na dan 3</w:t>
      </w:r>
      <w:r>
        <w:t>1</w:t>
      </w:r>
      <w:r w:rsidR="00047108">
        <w:t>.12.20</w:t>
      </w:r>
      <w:r w:rsidR="00C7265F">
        <w:t>2</w:t>
      </w:r>
      <w:r w:rsidR="00BA6E28">
        <w:t>1</w:t>
      </w:r>
      <w:r w:rsidR="00047108">
        <w:t>.</w:t>
      </w:r>
    </w:p>
    <w:p w14:paraId="476C8774" w14:textId="30D69626" w:rsidR="0033050A" w:rsidRDefault="00EC4C9C" w:rsidP="003A5EBF">
      <w:pPr>
        <w:pStyle w:val="Bezproreda"/>
      </w:pPr>
      <w:r w:rsidRPr="00B568CE">
        <w:rPr>
          <w:u w:val="single"/>
        </w:rPr>
        <w:t xml:space="preserve">Bilješka broj </w:t>
      </w:r>
      <w:r w:rsidR="00F84632" w:rsidRPr="00B568CE">
        <w:rPr>
          <w:u w:val="single"/>
        </w:rPr>
        <w:t>1</w:t>
      </w:r>
      <w:r w:rsidR="00DA361F" w:rsidRPr="00B568CE">
        <w:rPr>
          <w:u w:val="single"/>
        </w:rPr>
        <w:t>0</w:t>
      </w:r>
      <w:r w:rsidR="00DB5651">
        <w:t xml:space="preserve"> – AOP 08</w:t>
      </w:r>
      <w:r w:rsidR="00C7265F">
        <w:t>1</w:t>
      </w:r>
      <w:r w:rsidR="00DB5651">
        <w:t xml:space="preserve"> Ostala </w:t>
      </w:r>
      <w:r>
        <w:t>potraživanja – stanje 31.12.20</w:t>
      </w:r>
      <w:r w:rsidR="00C7265F">
        <w:t>2</w:t>
      </w:r>
      <w:r w:rsidR="00BA6E28">
        <w:t>1</w:t>
      </w:r>
      <w:r w:rsidR="00535265">
        <w:t xml:space="preserve">. </w:t>
      </w:r>
      <w:r w:rsidR="00C7265F">
        <w:t>već</w:t>
      </w:r>
      <w:r w:rsidR="00447088">
        <w:t>e je u odnosu na 01.01.20</w:t>
      </w:r>
      <w:r w:rsidR="00C7265F">
        <w:t>2</w:t>
      </w:r>
      <w:r w:rsidR="00BA6E28">
        <w:t>1</w:t>
      </w:r>
      <w:r w:rsidR="00DB5651">
        <w:t>. i odnosi se na potraživanja od HZZO-a za bolovanja preko 42 dana</w:t>
      </w:r>
      <w:r>
        <w:t xml:space="preserve"> i </w:t>
      </w:r>
      <w:r w:rsidR="00535265">
        <w:t>bolovanje ozljeda na radu</w:t>
      </w:r>
      <w:r w:rsidR="00C7265F">
        <w:t xml:space="preserve"> zbog toga što nije izvršena kompenzacija</w:t>
      </w:r>
      <w:r w:rsidR="00BA6E28">
        <w:t xml:space="preserve"> za 2020. ni 2021. godinu.</w:t>
      </w:r>
    </w:p>
    <w:p w14:paraId="2DEFF876" w14:textId="49DCD5EF" w:rsidR="00C7265F" w:rsidRDefault="00C7265F" w:rsidP="003A5EBF">
      <w:pPr>
        <w:pStyle w:val="Bezproreda"/>
      </w:pPr>
      <w:r w:rsidRPr="00B568CE">
        <w:rPr>
          <w:u w:val="single"/>
        </w:rPr>
        <w:t>Bilješka broj 1</w:t>
      </w:r>
      <w:r w:rsidR="00DA361F" w:rsidRPr="00B568CE">
        <w:rPr>
          <w:u w:val="single"/>
        </w:rPr>
        <w:t>1</w:t>
      </w:r>
      <w:r w:rsidR="00DA361F">
        <w:t xml:space="preserve"> - </w:t>
      </w:r>
      <w:r>
        <w:t xml:space="preserve">AOP 150 Potraživanja za pomoći proračunskim korisnicima iz proračuna koji im nije nadležan odnosi se na potraživanja od KZŽ za projekt prehrane učenika „Zalogajček“ </w:t>
      </w:r>
      <w:r w:rsidR="00BA6E28">
        <w:t>z</w:t>
      </w:r>
      <w:r>
        <w:t>a prosin</w:t>
      </w:r>
      <w:r w:rsidR="00BA6E28">
        <w:t>a</w:t>
      </w:r>
      <w:r>
        <w:t>c</w:t>
      </w:r>
      <w:r w:rsidR="00BA6E28">
        <w:t xml:space="preserve"> 2021.</w:t>
      </w:r>
    </w:p>
    <w:p w14:paraId="29955AEA" w14:textId="48429DB7" w:rsidR="00F84632" w:rsidRDefault="00EC4C9C" w:rsidP="003A5EBF">
      <w:pPr>
        <w:pStyle w:val="Bezproreda"/>
      </w:pPr>
      <w:r w:rsidRPr="00B568CE">
        <w:rPr>
          <w:u w:val="single"/>
        </w:rPr>
        <w:lastRenderedPageBreak/>
        <w:t xml:space="preserve">Bilješka broj </w:t>
      </w:r>
      <w:r w:rsidR="00F84632" w:rsidRPr="00B568CE">
        <w:rPr>
          <w:u w:val="single"/>
        </w:rPr>
        <w:t>1</w:t>
      </w:r>
      <w:r w:rsidR="00DA361F" w:rsidRPr="00B568CE">
        <w:rPr>
          <w:u w:val="single"/>
        </w:rPr>
        <w:t>2</w:t>
      </w:r>
      <w:r w:rsidR="00B568CE">
        <w:t xml:space="preserve"> </w:t>
      </w:r>
      <w:r w:rsidR="00DB5651">
        <w:t>– AOP 15</w:t>
      </w:r>
      <w:r w:rsidR="00BA6E28">
        <w:t>4</w:t>
      </w:r>
      <w:r w:rsidR="00DB5651">
        <w:t xml:space="preserve"> Potraživanja za upravne i administrativne pristojbe</w:t>
      </w:r>
      <w:r w:rsidR="003D7483">
        <w:t>, pristojbe po pose</w:t>
      </w:r>
      <w:r w:rsidR="00F6690D">
        <w:t xml:space="preserve">bnim propisima i naknade- </w:t>
      </w:r>
      <w:r w:rsidR="00BA6E28">
        <w:t>već</w:t>
      </w:r>
      <w:r w:rsidR="00C7265F">
        <w:t>e</w:t>
      </w:r>
      <w:r w:rsidR="003D7483">
        <w:t xml:space="preserve"> u odnosu na dan 01.01.20</w:t>
      </w:r>
      <w:r w:rsidR="00C7265F">
        <w:t>2</w:t>
      </w:r>
      <w:r w:rsidR="00BA6E28">
        <w:t>1</w:t>
      </w:r>
      <w:r w:rsidR="003D7483">
        <w:t>. i odnose se na neplaćene račun</w:t>
      </w:r>
      <w:r w:rsidR="00E54EC0">
        <w:t>e za školsku kuhinju</w:t>
      </w:r>
      <w:r w:rsidR="00F84632">
        <w:t>.</w:t>
      </w:r>
    </w:p>
    <w:p w14:paraId="61CD7A74" w14:textId="3EA947C1" w:rsidR="00DB5651" w:rsidRPr="00C82757" w:rsidRDefault="003D7483" w:rsidP="003A5EBF">
      <w:pPr>
        <w:pStyle w:val="Bezproreda"/>
        <w:rPr>
          <w:color w:val="EEECE1" w:themeColor="background2"/>
        </w:rPr>
      </w:pPr>
      <w:r w:rsidRPr="00B568CE">
        <w:rPr>
          <w:u w:val="single"/>
        </w:rPr>
        <w:t>Bilješka broj 1</w:t>
      </w:r>
      <w:r w:rsidR="00DA361F" w:rsidRPr="00B568CE">
        <w:rPr>
          <w:u w:val="single"/>
        </w:rPr>
        <w:t>3</w:t>
      </w:r>
      <w:r w:rsidR="00B568CE">
        <w:t xml:space="preserve"> </w:t>
      </w:r>
      <w:r>
        <w:t>- AOP 15</w:t>
      </w:r>
      <w:r w:rsidR="00BA6E28">
        <w:t>5</w:t>
      </w:r>
      <w:r>
        <w:t xml:space="preserve"> Potraživanja za prihode od prodaje proizvoda i robe te pruženih usluga</w:t>
      </w:r>
      <w:r w:rsidR="001B4C29">
        <w:t xml:space="preserve"> -</w:t>
      </w:r>
      <w:r>
        <w:t xml:space="preserve"> </w:t>
      </w:r>
      <w:r w:rsidR="00DB5651">
        <w:t xml:space="preserve"> </w:t>
      </w:r>
      <w:r w:rsidR="00F06036">
        <w:t>stanje na dan 31.12.20</w:t>
      </w:r>
      <w:r w:rsidR="00C7265F">
        <w:t>2</w:t>
      </w:r>
      <w:r w:rsidR="00BA6E28">
        <w:t>1</w:t>
      </w:r>
      <w:r w:rsidR="00D2117B">
        <w:t xml:space="preserve">. </w:t>
      </w:r>
      <w:r w:rsidR="00F6690D">
        <w:t>manje</w:t>
      </w:r>
      <w:r w:rsidR="00F06036">
        <w:t xml:space="preserve"> je u odnosu na dan 01.01.20</w:t>
      </w:r>
      <w:r w:rsidR="00C7265F">
        <w:t>2</w:t>
      </w:r>
      <w:r w:rsidR="00BA6E28">
        <w:t>1</w:t>
      </w:r>
      <w:r w:rsidR="00F06036">
        <w:t>. i odnosi se na n</w:t>
      </w:r>
      <w:r w:rsidR="00047108">
        <w:t>e</w:t>
      </w:r>
      <w:r w:rsidR="00F06036">
        <w:t>plaćen</w:t>
      </w:r>
      <w:r w:rsidR="00BA6E28">
        <w:t>i</w:t>
      </w:r>
      <w:r w:rsidR="00F06036">
        <w:t xml:space="preserve"> račun za iznajmlj</w:t>
      </w:r>
      <w:r w:rsidR="001835D8">
        <w:t>ivanje školske sportske dvorane</w:t>
      </w:r>
      <w:r w:rsidR="00D2117B">
        <w:t xml:space="preserve"> i račune za prehranu zaposlenika</w:t>
      </w:r>
      <w:r w:rsidR="00F84632">
        <w:t>.</w:t>
      </w:r>
      <w:r w:rsidR="00D2117B">
        <w:t xml:space="preserve"> </w:t>
      </w:r>
    </w:p>
    <w:p w14:paraId="22DF9DDE" w14:textId="4AC48421" w:rsidR="005612D6" w:rsidRDefault="00F6690D" w:rsidP="003A5EBF">
      <w:pPr>
        <w:pStyle w:val="Bezproreda"/>
      </w:pPr>
      <w:r w:rsidRPr="00B568CE">
        <w:rPr>
          <w:u w:val="single"/>
        </w:rPr>
        <w:t>Bilješka broj 1</w:t>
      </w:r>
      <w:r w:rsidR="00DA361F" w:rsidRPr="00B568CE">
        <w:rPr>
          <w:u w:val="single"/>
        </w:rPr>
        <w:t>4</w:t>
      </w:r>
      <w:r w:rsidR="005612D6">
        <w:t xml:space="preserve"> – AOP 15</w:t>
      </w:r>
      <w:r w:rsidR="00BA6E28">
        <w:t>8</w:t>
      </w:r>
      <w:r w:rsidR="005612D6">
        <w:t xml:space="preserve"> Ispravak vrijednosti potraživanja iskazan na dan </w:t>
      </w:r>
      <w:r w:rsidR="00BA6E28">
        <w:t>01</w:t>
      </w:r>
      <w:r w:rsidR="005612D6">
        <w:t>.</w:t>
      </w:r>
      <w:r w:rsidR="00BA6E28">
        <w:t>01</w:t>
      </w:r>
      <w:r w:rsidR="005612D6">
        <w:t>.20</w:t>
      </w:r>
      <w:r w:rsidR="003F5ED3">
        <w:t>2</w:t>
      </w:r>
      <w:r w:rsidR="00BA6E28">
        <w:t>1</w:t>
      </w:r>
      <w:r w:rsidR="005612D6">
        <w:t xml:space="preserve">. odnosi se na ispravak vrijednosti potraživanja za prihode od prodaje proizvoda i robe te pruženih usluga- iznajmljivanje sportske dvorane udruzi koja je </w:t>
      </w:r>
      <w:r w:rsidR="007A578B">
        <w:t>naknadno ugašena (2016.god.)</w:t>
      </w:r>
      <w:r w:rsidR="009710D7">
        <w:t xml:space="preserve"> te je vrijednost potraživanja</w:t>
      </w:r>
      <w:r w:rsidR="005612D6">
        <w:t xml:space="preserve"> </w:t>
      </w:r>
      <w:r w:rsidR="009710D7">
        <w:t xml:space="preserve">ispravljena </w:t>
      </w:r>
      <w:r>
        <w:t>100</w:t>
      </w:r>
      <w:r w:rsidR="005612D6">
        <w:t>%</w:t>
      </w:r>
      <w:r w:rsidR="00966679">
        <w:t>. Z</w:t>
      </w:r>
      <w:r w:rsidR="00BA6E28">
        <w:t>bog nemogućnosti  naplate izvršen je otpis potraživanja te je stanje na dan 31.12.2021. 0 kuna.</w:t>
      </w:r>
    </w:p>
    <w:p w14:paraId="77B80C6F" w14:textId="5D3C9A64" w:rsidR="00047108" w:rsidRDefault="000B6E3D" w:rsidP="003A5EBF">
      <w:pPr>
        <w:pStyle w:val="Bezproreda"/>
      </w:pPr>
      <w:r w:rsidRPr="00B568CE">
        <w:rPr>
          <w:u w:val="single"/>
        </w:rPr>
        <w:t>Bilješka broj 1</w:t>
      </w:r>
      <w:r w:rsidR="00DA361F" w:rsidRPr="00B568CE">
        <w:rPr>
          <w:u w:val="single"/>
        </w:rPr>
        <w:t>5</w:t>
      </w:r>
      <w:r w:rsidR="00047108">
        <w:t xml:space="preserve"> – AOP 1</w:t>
      </w:r>
      <w:r w:rsidR="003F5ED3">
        <w:t>6</w:t>
      </w:r>
      <w:r w:rsidR="00BA6E28">
        <w:t>1</w:t>
      </w:r>
      <w:r w:rsidR="00047108">
        <w:t xml:space="preserve"> Potraživanja od prodaje </w:t>
      </w:r>
      <w:r w:rsidR="003F5ED3">
        <w:t>proizvedene dugotrajne</w:t>
      </w:r>
      <w:r w:rsidR="00F43ED1">
        <w:t xml:space="preserve"> imovine odnose se na prodane</w:t>
      </w:r>
      <w:r w:rsidR="00047108">
        <w:t xml:space="preserve"> stan</w:t>
      </w:r>
      <w:r w:rsidR="00F43ED1">
        <w:t>ove</w:t>
      </w:r>
      <w:r w:rsidR="00047108">
        <w:t xml:space="preserve"> </w:t>
      </w:r>
      <w:r w:rsidR="004E746A">
        <w:t xml:space="preserve"> te je stanje 31.12.20</w:t>
      </w:r>
      <w:r w:rsidR="003F5ED3">
        <w:t>2</w:t>
      </w:r>
      <w:r w:rsidR="00BA6E28">
        <w:t>1</w:t>
      </w:r>
      <w:r w:rsidR="00F43ED1">
        <w:t>. manj</w:t>
      </w:r>
      <w:r w:rsidR="00D2117B">
        <w:t>e</w:t>
      </w:r>
      <w:r w:rsidR="004E746A">
        <w:t xml:space="preserve"> u odnosu 01.01.20</w:t>
      </w:r>
      <w:r w:rsidR="003F5ED3">
        <w:t>2</w:t>
      </w:r>
      <w:r w:rsidR="00BA6E28">
        <w:t>1</w:t>
      </w:r>
      <w:r w:rsidR="00D2117B">
        <w:t>. zbog o</w:t>
      </w:r>
      <w:r w:rsidR="00F43ED1">
        <w:t>tplaćivanja rata prema kupoprodajnom ugovoru</w:t>
      </w:r>
      <w:r w:rsidR="00D2117B">
        <w:t>.</w:t>
      </w:r>
    </w:p>
    <w:p w14:paraId="6AC206C4" w14:textId="6E2F6BCF" w:rsidR="004E746A" w:rsidRDefault="000B6E3D" w:rsidP="000B6E3D">
      <w:pPr>
        <w:pStyle w:val="Bezproreda"/>
      </w:pPr>
      <w:r w:rsidRPr="00B568CE">
        <w:rPr>
          <w:u w:val="single"/>
        </w:rPr>
        <w:t>Bilješka broj 1</w:t>
      </w:r>
      <w:r w:rsidR="00DA361F" w:rsidRPr="00B568CE">
        <w:rPr>
          <w:u w:val="single"/>
        </w:rPr>
        <w:t>6</w:t>
      </w:r>
      <w:r w:rsidR="004E746A">
        <w:t xml:space="preserve"> – AOP 16</w:t>
      </w:r>
      <w:r w:rsidR="00BA6E28">
        <w:t>8</w:t>
      </w:r>
      <w:r w:rsidR="004E746A">
        <w:t xml:space="preserve"> Kontinuirani rashodi budućih razd</w:t>
      </w:r>
      <w:r w:rsidR="00F6690D">
        <w:t xml:space="preserve">oblja odnose se na plaće </w:t>
      </w:r>
      <w:r w:rsidR="004E746A">
        <w:t xml:space="preserve">za prosinac </w:t>
      </w:r>
      <w:r w:rsidR="00607C95">
        <w:t>20</w:t>
      </w:r>
      <w:r w:rsidR="003F5ED3">
        <w:t>2</w:t>
      </w:r>
      <w:r w:rsidR="00BA6E28">
        <w:t>1</w:t>
      </w:r>
      <w:r w:rsidR="00607C95">
        <w:t>. i</w:t>
      </w:r>
      <w:r w:rsidR="004E746A">
        <w:t xml:space="preserve"> veći su u odnosu na stanje 01.01.20</w:t>
      </w:r>
      <w:r w:rsidR="003F5ED3">
        <w:t>2</w:t>
      </w:r>
      <w:r w:rsidR="00BA6E28">
        <w:t>1</w:t>
      </w:r>
      <w:r w:rsidR="00F84632">
        <w:t>. zbog veće osnovice za obračun plaće</w:t>
      </w:r>
      <w:r w:rsidR="00F6690D">
        <w:t>.</w:t>
      </w:r>
    </w:p>
    <w:p w14:paraId="308A8491" w14:textId="6AFC751E" w:rsidR="004E746A" w:rsidRDefault="000B6E3D" w:rsidP="003A5EBF">
      <w:pPr>
        <w:pStyle w:val="Bezproreda"/>
      </w:pPr>
      <w:r w:rsidRPr="00B568CE">
        <w:rPr>
          <w:u w:val="single"/>
        </w:rPr>
        <w:t>Bilješka broj 1</w:t>
      </w:r>
      <w:r w:rsidR="00DA361F" w:rsidRPr="00B568CE">
        <w:rPr>
          <w:u w:val="single"/>
        </w:rPr>
        <w:t>7</w:t>
      </w:r>
      <w:r w:rsidR="004E746A" w:rsidRPr="00841E67">
        <w:t xml:space="preserve"> </w:t>
      </w:r>
      <w:r w:rsidR="004E746A">
        <w:t>– AOP 1</w:t>
      </w:r>
      <w:r w:rsidR="003F5ED3">
        <w:t>7</w:t>
      </w:r>
      <w:r w:rsidR="00134444">
        <w:t>2</w:t>
      </w:r>
      <w:r w:rsidR="004E746A">
        <w:t xml:space="preserve"> Obvez</w:t>
      </w:r>
      <w:r w:rsidR="00841E67">
        <w:t>e za zaposlene stanje 31.12.20</w:t>
      </w:r>
      <w:r w:rsidR="003F5ED3">
        <w:t>2</w:t>
      </w:r>
      <w:r w:rsidR="00BA6E28">
        <w:t>1</w:t>
      </w:r>
      <w:r w:rsidR="004E746A">
        <w:t>. veće je u odnosu na dan 01.01.20</w:t>
      </w:r>
      <w:r w:rsidR="003F5ED3">
        <w:t>2</w:t>
      </w:r>
      <w:r w:rsidR="00BA6E28">
        <w:t>1</w:t>
      </w:r>
      <w:r w:rsidR="004E746A">
        <w:t>. zbog</w:t>
      </w:r>
      <w:r w:rsidR="00F6690D">
        <w:t xml:space="preserve"> već</w:t>
      </w:r>
      <w:r w:rsidR="003F5ED3">
        <w:t>e osnovice</w:t>
      </w:r>
      <w:r w:rsidR="004E746A">
        <w:t xml:space="preserve"> nego u istom razdoblju prethodne godine</w:t>
      </w:r>
      <w:r w:rsidR="003A5EBF">
        <w:t>.</w:t>
      </w:r>
    </w:p>
    <w:p w14:paraId="089F7FC0" w14:textId="1E571B92" w:rsidR="00BA6E28" w:rsidRDefault="00BA6E28" w:rsidP="003A5EBF">
      <w:pPr>
        <w:pStyle w:val="Bezproreda"/>
      </w:pPr>
      <w:r w:rsidRPr="00B568CE">
        <w:rPr>
          <w:u w:val="single"/>
        </w:rPr>
        <w:t>Bilješka broj</w:t>
      </w:r>
      <w:r w:rsidR="00DA361F" w:rsidRPr="00B568CE">
        <w:rPr>
          <w:u w:val="single"/>
        </w:rPr>
        <w:t xml:space="preserve"> 18</w:t>
      </w:r>
      <w:r>
        <w:t xml:space="preserve"> - AOP 173 </w:t>
      </w:r>
      <w:r w:rsidR="008F3AF5">
        <w:t>Obveze za materijalne rashode – stanje na dan 31.12.2021. veće u odnosu na 01.01.2021. zbog većih troškova za navedene rashode.</w:t>
      </w:r>
    </w:p>
    <w:p w14:paraId="3DE12480" w14:textId="2693A13E" w:rsidR="008F3AF5" w:rsidRDefault="008F3AF5" w:rsidP="003A5EBF">
      <w:pPr>
        <w:pStyle w:val="Bezproreda"/>
      </w:pPr>
      <w:r w:rsidRPr="00B568CE">
        <w:rPr>
          <w:u w:val="single"/>
        </w:rPr>
        <w:t>Bilješka broj</w:t>
      </w:r>
      <w:r w:rsidR="00DA361F" w:rsidRPr="00B568CE">
        <w:rPr>
          <w:u w:val="single"/>
        </w:rPr>
        <w:t xml:space="preserve"> 19</w:t>
      </w:r>
      <w:r>
        <w:t xml:space="preserve"> - AOP 177 Obveze za ostale financijske rashode veće su u odnosu na 01.01.2021. zbog kamata za sudski postupak, krajem prosinca je zaprimljena pravomoćna sudska presuda zbog isplate razlike plaće te su obračunate kamate za doprinose, porez i troškove sudskog postupka.</w:t>
      </w:r>
    </w:p>
    <w:p w14:paraId="4D0C6FB7" w14:textId="77E5F9BF" w:rsidR="00F6690D" w:rsidRDefault="004E746A" w:rsidP="003A5EBF">
      <w:pPr>
        <w:pStyle w:val="Bezproreda"/>
      </w:pPr>
      <w:r w:rsidRPr="00B568CE">
        <w:rPr>
          <w:u w:val="single"/>
        </w:rPr>
        <w:t xml:space="preserve">Bilješka </w:t>
      </w:r>
      <w:r w:rsidR="000B6E3D" w:rsidRPr="00B568CE">
        <w:rPr>
          <w:u w:val="single"/>
        </w:rPr>
        <w:t xml:space="preserve">broj </w:t>
      </w:r>
      <w:r w:rsidR="00DA361F" w:rsidRPr="00B568CE">
        <w:rPr>
          <w:u w:val="single"/>
        </w:rPr>
        <w:t>20</w:t>
      </w:r>
      <w:r w:rsidR="00ED2DCA">
        <w:t xml:space="preserve"> - </w:t>
      </w:r>
      <w:r>
        <w:t>AOP 1</w:t>
      </w:r>
      <w:r w:rsidR="003F5ED3">
        <w:t>8</w:t>
      </w:r>
      <w:r w:rsidR="006E0DCA">
        <w:t>2</w:t>
      </w:r>
      <w:r w:rsidR="00D723B9">
        <w:t xml:space="preserve"> O</w:t>
      </w:r>
      <w:r>
        <w:t>stale tekuće obveze – stanje na dan 31.12.20</w:t>
      </w:r>
      <w:r w:rsidR="003F5ED3">
        <w:t>2</w:t>
      </w:r>
      <w:r w:rsidR="008F3AF5">
        <w:t>1</w:t>
      </w:r>
      <w:r>
        <w:t xml:space="preserve">. </w:t>
      </w:r>
      <w:r w:rsidR="003F5ED3">
        <w:t>već</w:t>
      </w:r>
      <w:r w:rsidR="00D723B9">
        <w:t>e</w:t>
      </w:r>
      <w:r>
        <w:t xml:space="preserve"> je u odnosu na 01.01.20</w:t>
      </w:r>
      <w:r w:rsidR="003F5ED3">
        <w:t>2</w:t>
      </w:r>
      <w:r w:rsidR="008F3AF5">
        <w:t>1</w:t>
      </w:r>
      <w:r>
        <w:t>.,</w:t>
      </w:r>
      <w:r w:rsidR="00ED2DCA">
        <w:t xml:space="preserve"> </w:t>
      </w:r>
      <w:r>
        <w:t>a odnosi se na ob</w:t>
      </w:r>
      <w:r w:rsidR="00ED2DCA">
        <w:t>v</w:t>
      </w:r>
      <w:r>
        <w:t>e</w:t>
      </w:r>
      <w:r w:rsidR="00ED2DCA">
        <w:t>zu uplate</w:t>
      </w:r>
      <w:r w:rsidR="00BA15CD">
        <w:t xml:space="preserve"> </w:t>
      </w:r>
      <w:r w:rsidR="00ED2DCA">
        <w:t>65 %</w:t>
      </w:r>
      <w:r>
        <w:t xml:space="preserve"> prihoda od </w:t>
      </w:r>
      <w:r w:rsidR="00ED2DCA">
        <w:t>prodaje s</w:t>
      </w:r>
      <w:r w:rsidR="006F038C">
        <w:t>tanova u državni proračun,</w:t>
      </w:r>
      <w:r w:rsidR="00607C95">
        <w:t xml:space="preserve"> na</w:t>
      </w:r>
      <w:r w:rsidR="00ED2DCA">
        <w:t xml:space="preserve"> bolovanje</w:t>
      </w:r>
      <w:r w:rsidR="006F038C">
        <w:t>-refundacija preko HZZO-a</w:t>
      </w:r>
      <w:r w:rsidR="00F6690D">
        <w:t xml:space="preserve">. Saldo je </w:t>
      </w:r>
      <w:r w:rsidR="003F5ED3">
        <w:t>veći</w:t>
      </w:r>
      <w:r w:rsidR="00F6690D">
        <w:t xml:space="preserve"> zbog </w:t>
      </w:r>
      <w:r w:rsidR="003F5ED3">
        <w:t xml:space="preserve">toga što nije </w:t>
      </w:r>
      <w:r w:rsidR="00F6690D">
        <w:t>izvršen</w:t>
      </w:r>
      <w:r w:rsidR="003F5ED3">
        <w:t>a</w:t>
      </w:r>
      <w:r w:rsidR="00F6690D">
        <w:t xml:space="preserve"> kompenzacije bolovanja između MZO i HZZO</w:t>
      </w:r>
      <w:r w:rsidR="008F3AF5">
        <w:t xml:space="preserve"> za 2020. i 2021. god</w:t>
      </w:r>
      <w:r w:rsidR="00F6690D">
        <w:t>.</w:t>
      </w:r>
    </w:p>
    <w:p w14:paraId="71268C6E" w14:textId="6C7B8BB5" w:rsidR="00ED2DCA" w:rsidRDefault="000B6E3D" w:rsidP="003A5EBF">
      <w:pPr>
        <w:pStyle w:val="Bezproreda"/>
      </w:pPr>
      <w:r w:rsidRPr="00B568CE">
        <w:rPr>
          <w:u w:val="single"/>
        </w:rPr>
        <w:t xml:space="preserve">Bilješka broj </w:t>
      </w:r>
      <w:r w:rsidR="003F5ED3" w:rsidRPr="00B568CE">
        <w:rPr>
          <w:u w:val="single"/>
        </w:rPr>
        <w:t>2</w:t>
      </w:r>
      <w:r w:rsidR="00DA361F" w:rsidRPr="00B568CE">
        <w:rPr>
          <w:u w:val="single"/>
        </w:rPr>
        <w:t>1</w:t>
      </w:r>
      <w:r w:rsidR="00ED2DCA">
        <w:t xml:space="preserve"> – AOP 2</w:t>
      </w:r>
      <w:r w:rsidR="008F3AF5">
        <w:t>41</w:t>
      </w:r>
      <w:r w:rsidR="00ED2DCA">
        <w:t xml:space="preserve"> Vi</w:t>
      </w:r>
      <w:r w:rsidR="00D723B9">
        <w:t>šak prihoda poslovanja i AOP 2</w:t>
      </w:r>
      <w:r w:rsidR="003F5ED3">
        <w:t>4</w:t>
      </w:r>
      <w:r w:rsidR="008F3AF5">
        <w:t>6</w:t>
      </w:r>
      <w:r w:rsidR="00ED2DCA">
        <w:t xml:space="preserve"> Manjak prihoda od nefinancijske imovine- ostvaren je </w:t>
      </w:r>
      <w:r w:rsidR="003F5ED3">
        <w:t>višak</w:t>
      </w:r>
      <w:r w:rsidR="00ED2DCA">
        <w:t xml:space="preserve"> prihoda poslovanja </w:t>
      </w:r>
      <w:r w:rsidR="008F3AF5">
        <w:t xml:space="preserve">37.658 </w:t>
      </w:r>
      <w:r w:rsidR="00ED2DCA">
        <w:t>kn te manjak prihoda od nefina</w:t>
      </w:r>
      <w:r w:rsidR="00607C95">
        <w:t xml:space="preserve">ncijske imovine od </w:t>
      </w:r>
      <w:r w:rsidR="002B0E50">
        <w:t>3</w:t>
      </w:r>
      <w:r w:rsidR="008F3AF5">
        <w:t>7.758</w:t>
      </w:r>
      <w:r w:rsidR="00607C95">
        <w:t xml:space="preserve"> kn. </w:t>
      </w:r>
      <w:r w:rsidR="00866F03">
        <w:t>Ostvaren je manjak, najvećim dijelom zbog toga što nam nisu doznačena sredstva</w:t>
      </w:r>
      <w:r w:rsidR="008F3AF5">
        <w:t xml:space="preserve"> od MZO</w:t>
      </w:r>
      <w:r w:rsidR="00866F03">
        <w:t xml:space="preserve"> za</w:t>
      </w:r>
      <w:r w:rsidR="008F3AF5">
        <w:t xml:space="preserve"> testiranje radnika koji nisu cijepljeni, za studeni i prosinac, zbog pristigle pravomoćne sudske presude krajem prosinca za koju nam također nisu doznačena sredstva, za</w:t>
      </w:r>
      <w:r w:rsidR="00866F03">
        <w:t xml:space="preserve"> školsku kuhinju prema projektu „Zalogajček“ te neplaćenih računa </w:t>
      </w:r>
      <w:r w:rsidR="00F80F12">
        <w:t xml:space="preserve">od roditelja </w:t>
      </w:r>
      <w:r w:rsidR="00866F03">
        <w:t>za školsku kuhinju. Manjak prihoda</w:t>
      </w:r>
      <w:r w:rsidR="00A33706">
        <w:t xml:space="preserve"> od 100 kn (AOP239) </w:t>
      </w:r>
      <w:r w:rsidR="00866F03">
        <w:t>pokriti će se u sljedećem r</w:t>
      </w:r>
      <w:r w:rsidR="00ED2DCA">
        <w:t>azdoblju</w:t>
      </w:r>
      <w:r w:rsidR="00DF11AC">
        <w:t>.</w:t>
      </w:r>
    </w:p>
    <w:p w14:paraId="6EE646B4" w14:textId="4C0FA719" w:rsidR="00450783" w:rsidRDefault="00450783" w:rsidP="003A5EBF">
      <w:pPr>
        <w:pStyle w:val="Bezproreda"/>
      </w:pPr>
      <w:r w:rsidRPr="00B568CE">
        <w:rPr>
          <w:u w:val="single"/>
        </w:rPr>
        <w:t xml:space="preserve">Bilješka broj </w:t>
      </w:r>
      <w:r w:rsidR="00866F03" w:rsidRPr="00B568CE">
        <w:rPr>
          <w:u w:val="single"/>
        </w:rPr>
        <w:t>2</w:t>
      </w:r>
      <w:r w:rsidR="00DA361F" w:rsidRPr="00B568CE">
        <w:rPr>
          <w:u w:val="single"/>
        </w:rPr>
        <w:t>2</w:t>
      </w:r>
      <w:r w:rsidR="00DA361F">
        <w:t xml:space="preserve"> -</w:t>
      </w:r>
      <w:r>
        <w:t xml:space="preserve"> AOP 2</w:t>
      </w:r>
      <w:r w:rsidR="00866F03">
        <w:t>5</w:t>
      </w:r>
      <w:r w:rsidR="00A33706">
        <w:t>3</w:t>
      </w:r>
      <w:r w:rsidR="00866F03">
        <w:t>-25</w:t>
      </w:r>
      <w:r w:rsidR="00A33706">
        <w:t>4</w:t>
      </w:r>
      <w:r>
        <w:t xml:space="preserve"> Izvanbilančni zapisi – stanje na 31.12.20</w:t>
      </w:r>
      <w:r w:rsidR="00866F03">
        <w:t>2</w:t>
      </w:r>
      <w:r w:rsidR="00447E04">
        <w:t>1</w:t>
      </w:r>
      <w:r>
        <w:t>.</w:t>
      </w:r>
      <w:r w:rsidR="00A33706">
        <w:t xml:space="preserve"> iznosi 760.614 kn;</w:t>
      </w:r>
      <w:r>
        <w:t xml:space="preserve"> odnosi se na </w:t>
      </w:r>
      <w:r w:rsidR="00447E04">
        <w:t xml:space="preserve">tuđu imovinu dobivenu na korištenje: </w:t>
      </w:r>
      <w:r>
        <w:t>tablete</w:t>
      </w:r>
      <w:r w:rsidR="00447E04">
        <w:t>, prijenosna računala i projektore</w:t>
      </w:r>
      <w:r>
        <w:t xml:space="preserve"> od </w:t>
      </w:r>
      <w:r w:rsidR="00F84632">
        <w:t>Carneta /</w:t>
      </w:r>
      <w:r>
        <w:t xml:space="preserve">MZO-a </w:t>
      </w:r>
      <w:r w:rsidR="00A77AC9">
        <w:t xml:space="preserve"> u iznosu 714.379 kn </w:t>
      </w:r>
      <w:r w:rsidR="00916639">
        <w:t>za koje još nije napravljen prijenos vlasništva.</w:t>
      </w:r>
      <w:r w:rsidR="00866F03">
        <w:t xml:space="preserve"> </w:t>
      </w:r>
      <w:r w:rsidR="005027F9">
        <w:t>V</w:t>
      </w:r>
      <w:r w:rsidR="00866F03">
        <w:t>eći je u odnosu na stanje 01.01.202</w:t>
      </w:r>
      <w:r w:rsidR="00447E04">
        <w:t>1</w:t>
      </w:r>
      <w:r w:rsidR="00866F03">
        <w:t xml:space="preserve">. zbog </w:t>
      </w:r>
      <w:r w:rsidR="005027F9">
        <w:t>evidencije potencijalnih obveza po osnovi sudskih sporova u tijeku</w:t>
      </w:r>
      <w:r w:rsidR="00257836">
        <w:t xml:space="preserve"> i koji su započeli u 2021. god.</w:t>
      </w:r>
      <w:r w:rsidR="00A77AC9">
        <w:t xml:space="preserve"> u iznosu 38.734 kn</w:t>
      </w:r>
      <w:r w:rsidR="008C2009">
        <w:t xml:space="preserve"> (tablica 2)</w:t>
      </w:r>
      <w:r w:rsidR="005027F9">
        <w:t>.</w:t>
      </w:r>
      <w:r w:rsidR="00447E04">
        <w:t xml:space="preserve"> Također, u izvanbilančnoj evidenciji vodi se i fotokopirni aparat </w:t>
      </w:r>
      <w:r w:rsidR="00A77AC9">
        <w:t xml:space="preserve">u iznosu 7.500 kn </w:t>
      </w:r>
      <w:r w:rsidR="00447E04">
        <w:t>dobiven na korištenje</w:t>
      </w:r>
      <w:r w:rsidR="00257836">
        <w:t xml:space="preserve"> od dobavljača Copia forum.</w:t>
      </w:r>
    </w:p>
    <w:p w14:paraId="13335337" w14:textId="337F0E32" w:rsidR="00D723B9" w:rsidRDefault="00272E09" w:rsidP="003A5EBF">
      <w:pPr>
        <w:pStyle w:val="Bezproreda"/>
      </w:pPr>
      <w:r w:rsidRPr="00B568CE">
        <w:rPr>
          <w:u w:val="single"/>
        </w:rPr>
        <w:t xml:space="preserve">Bilješka broj </w:t>
      </w:r>
      <w:r w:rsidR="00F84632" w:rsidRPr="00B568CE">
        <w:rPr>
          <w:u w:val="single"/>
        </w:rPr>
        <w:t>2</w:t>
      </w:r>
      <w:r w:rsidR="00DA361F" w:rsidRPr="00B568CE">
        <w:rPr>
          <w:u w:val="single"/>
        </w:rPr>
        <w:t>3</w:t>
      </w:r>
      <w:r w:rsidR="00D723B9">
        <w:t xml:space="preserve"> – AOP 2</w:t>
      </w:r>
      <w:r w:rsidR="00447E04">
        <w:t>57</w:t>
      </w:r>
      <w:r w:rsidR="00D723B9">
        <w:t xml:space="preserve"> i AOP 2</w:t>
      </w:r>
      <w:r w:rsidR="00447E04">
        <w:t>58</w:t>
      </w:r>
      <w:r w:rsidR="00D723B9">
        <w:t xml:space="preserve"> Potraživanja za prihode poslovanja</w:t>
      </w:r>
      <w:r w:rsidR="00F06302">
        <w:t xml:space="preserve"> odnose se na p</w:t>
      </w:r>
      <w:r>
        <w:t xml:space="preserve">otraživanja za školsku kuhinju i </w:t>
      </w:r>
      <w:r w:rsidR="00F06302">
        <w:t>iznajmljivanje školskog prostora te su u odnosu na 01.01.20</w:t>
      </w:r>
      <w:r w:rsidR="00866F03">
        <w:t>2</w:t>
      </w:r>
      <w:r w:rsidR="00447E04">
        <w:t>1</w:t>
      </w:r>
      <w:r w:rsidR="00F06302">
        <w:t xml:space="preserve">. </w:t>
      </w:r>
      <w:r w:rsidR="00447E04">
        <w:t>smanje</w:t>
      </w:r>
      <w:r>
        <w:t>ni</w:t>
      </w:r>
      <w:r w:rsidR="00F06302">
        <w:t xml:space="preserve">. Od toga su dospjela potraživanja </w:t>
      </w:r>
      <w:r w:rsidR="00447E04">
        <w:t>9.060</w:t>
      </w:r>
      <w:r w:rsidR="00866F03">
        <w:t xml:space="preserve"> </w:t>
      </w:r>
      <w:r w:rsidR="00F06302">
        <w:t>kn za koje s</w:t>
      </w:r>
      <w:r w:rsidR="00447E04">
        <w:t>e</w:t>
      </w:r>
      <w:r w:rsidR="00F06302">
        <w:t xml:space="preserve"> podu</w:t>
      </w:r>
      <w:r w:rsidR="00447E04">
        <w:t xml:space="preserve">zimaju </w:t>
      </w:r>
      <w:r w:rsidR="00F06302">
        <w:t xml:space="preserve">mjere slanja opomene te nedospjela </w:t>
      </w:r>
      <w:r w:rsidR="00447E04">
        <w:t>26.958</w:t>
      </w:r>
      <w:r w:rsidR="00F06302">
        <w:t xml:space="preserve"> kn (rač</w:t>
      </w:r>
      <w:r>
        <w:t>uni izdani</w:t>
      </w:r>
      <w:r w:rsidR="009A3751">
        <w:t xml:space="preserve"> krajem prosinca</w:t>
      </w:r>
      <w:r w:rsidR="00F84632">
        <w:t xml:space="preserve"> s dospijećem krajem </w:t>
      </w:r>
      <w:r w:rsidR="002B0E50">
        <w:t>siječnj</w:t>
      </w:r>
      <w:r w:rsidR="00F84632">
        <w:t>a</w:t>
      </w:r>
      <w:r w:rsidR="002B0E50">
        <w:t xml:space="preserve"> 202</w:t>
      </w:r>
      <w:r w:rsidR="00F80F12">
        <w:t>2</w:t>
      </w:r>
      <w:r w:rsidR="00F06302">
        <w:t>.</w:t>
      </w:r>
      <w:r w:rsidR="00257836">
        <w:t>,</w:t>
      </w:r>
      <w:r w:rsidR="005B13FA">
        <w:t>te „Zalogajček“</w:t>
      </w:r>
      <w:r w:rsidR="00F06302">
        <w:t>).</w:t>
      </w:r>
    </w:p>
    <w:p w14:paraId="330C2725" w14:textId="6B9DB6ED" w:rsidR="00F06302" w:rsidRDefault="00F06302" w:rsidP="003A5EBF">
      <w:pPr>
        <w:pStyle w:val="Bezproreda"/>
      </w:pPr>
      <w:r w:rsidRPr="00B568CE">
        <w:rPr>
          <w:u w:val="single"/>
        </w:rPr>
        <w:t xml:space="preserve">Bilješka broj </w:t>
      </w:r>
      <w:r w:rsidR="00450783" w:rsidRPr="00B568CE">
        <w:rPr>
          <w:u w:val="single"/>
        </w:rPr>
        <w:t>2</w:t>
      </w:r>
      <w:r w:rsidR="00DA361F" w:rsidRPr="00B568CE">
        <w:rPr>
          <w:u w:val="single"/>
        </w:rPr>
        <w:t>4</w:t>
      </w:r>
      <w:r w:rsidR="00450783">
        <w:t xml:space="preserve"> </w:t>
      </w:r>
      <w:r>
        <w:t>-AOP 2</w:t>
      </w:r>
      <w:r w:rsidR="00447E04">
        <w:t>60</w:t>
      </w:r>
      <w:r>
        <w:t xml:space="preserve">- </w:t>
      </w:r>
      <w:r w:rsidR="00A33706">
        <w:t>Potraživanja</w:t>
      </w:r>
      <w:r>
        <w:t xml:space="preserve"> od prodaje nef</w:t>
      </w:r>
      <w:r w:rsidR="009A3751">
        <w:t>inancijske imovine (stanovi) manj</w:t>
      </w:r>
      <w:r>
        <w:t>i su na dan 31.12.20</w:t>
      </w:r>
      <w:r w:rsidR="005B13FA">
        <w:t>2</w:t>
      </w:r>
      <w:r w:rsidR="00447E04">
        <w:t>1</w:t>
      </w:r>
      <w:r>
        <w:t>. nego  01.01.20</w:t>
      </w:r>
      <w:r w:rsidR="005B13FA">
        <w:t>2</w:t>
      </w:r>
      <w:r w:rsidR="00447E04">
        <w:t>1</w:t>
      </w:r>
      <w:r>
        <w:t xml:space="preserve">. </w:t>
      </w:r>
      <w:r w:rsidR="009A3751">
        <w:t>zbog redovite otplate rata za stanove.</w:t>
      </w:r>
    </w:p>
    <w:p w14:paraId="744678D3" w14:textId="66169296" w:rsidR="009A3751" w:rsidRDefault="009A3751" w:rsidP="003A5EBF">
      <w:pPr>
        <w:pStyle w:val="Bezproreda"/>
      </w:pPr>
      <w:r w:rsidRPr="00B568CE">
        <w:rPr>
          <w:u w:val="single"/>
        </w:rPr>
        <w:t>Bilješka broj 2</w:t>
      </w:r>
      <w:r w:rsidR="00DA361F" w:rsidRPr="00B568CE">
        <w:rPr>
          <w:u w:val="single"/>
        </w:rPr>
        <w:t>5</w:t>
      </w:r>
      <w:r>
        <w:t xml:space="preserve"> – AOP 2</w:t>
      </w:r>
      <w:r w:rsidR="00447E04">
        <w:t>6</w:t>
      </w:r>
      <w:r w:rsidR="00A33706">
        <w:t>1</w:t>
      </w:r>
      <w:r>
        <w:t xml:space="preserve"> Potraživanja za naknade koje se refundiraju</w:t>
      </w:r>
      <w:r w:rsidR="00A33706">
        <w:t>-</w:t>
      </w:r>
      <w:r>
        <w:t xml:space="preserve"> stanje na dan 31.12.20</w:t>
      </w:r>
      <w:r w:rsidR="005B13FA">
        <w:t>2</w:t>
      </w:r>
      <w:r w:rsidR="00447E04">
        <w:t>1</w:t>
      </w:r>
      <w:r w:rsidR="002B0E50">
        <w:t xml:space="preserve">. </w:t>
      </w:r>
      <w:r w:rsidR="005B13FA">
        <w:t>već</w:t>
      </w:r>
      <w:r w:rsidR="002B0E50">
        <w:t>e</w:t>
      </w:r>
      <w:r>
        <w:t xml:space="preserve"> </w:t>
      </w:r>
      <w:r w:rsidR="002B0E50">
        <w:t>je u odnosu na stanje 01.01.20</w:t>
      </w:r>
      <w:r w:rsidR="005B13FA">
        <w:t>2</w:t>
      </w:r>
      <w:r w:rsidR="00447E04">
        <w:t>1</w:t>
      </w:r>
      <w:r>
        <w:t>. zbog</w:t>
      </w:r>
      <w:r w:rsidR="005B13FA">
        <w:t xml:space="preserve"> toga što nije</w:t>
      </w:r>
      <w:r>
        <w:t xml:space="preserve"> </w:t>
      </w:r>
      <w:r w:rsidR="002B0E50">
        <w:t>izvršen</w:t>
      </w:r>
      <w:r w:rsidR="005B13FA">
        <w:t>a</w:t>
      </w:r>
      <w:r w:rsidR="002B0E50">
        <w:t xml:space="preserve"> kompenzacij</w:t>
      </w:r>
      <w:r w:rsidR="005B13FA">
        <w:t>a</w:t>
      </w:r>
      <w:r w:rsidR="002B0E50">
        <w:t xml:space="preserve"> između MZO i HZZO</w:t>
      </w:r>
      <w:r>
        <w:t xml:space="preserve"> </w:t>
      </w:r>
      <w:r w:rsidR="002B0E50">
        <w:t>z</w:t>
      </w:r>
      <w:r>
        <w:t>a bolovanj</w:t>
      </w:r>
      <w:r w:rsidR="002B0E50">
        <w:t>a</w:t>
      </w:r>
      <w:r>
        <w:t xml:space="preserve"> zbog ozljede na radu i bolovanja preko 42 dana.</w:t>
      </w:r>
    </w:p>
    <w:p w14:paraId="4E96344E" w14:textId="51BD8B12" w:rsidR="00A85C44" w:rsidRDefault="00A85C44" w:rsidP="003A5EBF">
      <w:pPr>
        <w:pStyle w:val="Bezproreda"/>
      </w:pPr>
      <w:r w:rsidRPr="00B568CE">
        <w:rPr>
          <w:u w:val="single"/>
        </w:rPr>
        <w:t>Bilješka broj 2</w:t>
      </w:r>
      <w:r w:rsidR="00DA361F" w:rsidRPr="00B568CE">
        <w:rPr>
          <w:u w:val="single"/>
        </w:rPr>
        <w:t>6</w:t>
      </w:r>
      <w:r>
        <w:t xml:space="preserve"> – AOP 2</w:t>
      </w:r>
      <w:r w:rsidR="005B13FA">
        <w:t>81</w:t>
      </w:r>
      <w:r>
        <w:t xml:space="preserve"> Obveze za rashode poslovanja odnose se na obveze za isplatu plaće i naknade plaća te materijalne rashode koji su podmireni u siječnju 20</w:t>
      </w:r>
      <w:r w:rsidR="002B0E50">
        <w:t>2</w:t>
      </w:r>
      <w:r w:rsidR="00447E04">
        <w:t>2</w:t>
      </w:r>
      <w:r>
        <w:t>.</w:t>
      </w:r>
      <w:r w:rsidR="00A33706">
        <w:t xml:space="preserve"> dospjelih obveza za rashode poslovanja nema.</w:t>
      </w:r>
    </w:p>
    <w:p w14:paraId="736185B3" w14:textId="2DC2DF30" w:rsidR="00A85C44" w:rsidRDefault="00A85C44" w:rsidP="003A5EBF">
      <w:pPr>
        <w:pStyle w:val="Bezproreda"/>
      </w:pPr>
      <w:r w:rsidRPr="00B568CE">
        <w:rPr>
          <w:u w:val="single"/>
        </w:rPr>
        <w:lastRenderedPageBreak/>
        <w:t>Bilješka broj 2</w:t>
      </w:r>
      <w:r w:rsidR="00DA361F" w:rsidRPr="00B568CE">
        <w:rPr>
          <w:u w:val="single"/>
        </w:rPr>
        <w:t>7</w:t>
      </w:r>
      <w:r>
        <w:t xml:space="preserve"> – AOP 2</w:t>
      </w:r>
      <w:r w:rsidR="005B13FA">
        <w:t>9</w:t>
      </w:r>
      <w:r w:rsidR="002F2AC7">
        <w:t>1</w:t>
      </w:r>
      <w:r w:rsidR="005B13FA">
        <w:t xml:space="preserve"> </w:t>
      </w:r>
      <w:r>
        <w:t xml:space="preserve">Ostale nespomenute obveze </w:t>
      </w:r>
      <w:r w:rsidR="00447E04">
        <w:t xml:space="preserve">– iznose 30 kuna i odnose se na previše uplaćenu školsku kuhinju, a iznos je u odnosu na 01.01.2021. smanjen zbog izvršenog ispravka </w:t>
      </w:r>
      <w:r w:rsidR="002F2AC7">
        <w:t>knjiženja</w:t>
      </w:r>
      <w:r w:rsidR="00447E04">
        <w:t xml:space="preserve"> na ispravan konto, odnosno na </w:t>
      </w:r>
      <w:r w:rsidR="002F2AC7">
        <w:t xml:space="preserve">Obveze za naplaćene tuđe prihode AOP 292 - </w:t>
      </w:r>
      <w:r w:rsidR="006F038C">
        <w:t>obvez</w:t>
      </w:r>
      <w:r w:rsidR="002F2AC7">
        <w:t>a</w:t>
      </w:r>
      <w:r w:rsidR="006F038C">
        <w:t xml:space="preserve"> uplate 65% prihoda</w:t>
      </w:r>
      <w:r>
        <w:t xml:space="preserve"> u državni proračun za prodane stanove</w:t>
      </w:r>
      <w:r w:rsidR="009A3751">
        <w:t>.</w:t>
      </w:r>
    </w:p>
    <w:p w14:paraId="329C28E0" w14:textId="15C2CCB4" w:rsidR="00F06302" w:rsidRDefault="008F7295" w:rsidP="003A5EBF">
      <w:pPr>
        <w:pStyle w:val="Bezproreda"/>
      </w:pPr>
      <w:r w:rsidRPr="00B568CE">
        <w:rPr>
          <w:u w:val="single"/>
        </w:rPr>
        <w:t>Bilješka broj 2</w:t>
      </w:r>
      <w:r w:rsidR="00DA361F" w:rsidRPr="00B568CE">
        <w:rPr>
          <w:u w:val="single"/>
        </w:rPr>
        <w:t>8</w:t>
      </w:r>
      <w:r w:rsidR="00A85C44">
        <w:t xml:space="preserve"> – AOP 29</w:t>
      </w:r>
      <w:r w:rsidR="002F2AC7">
        <w:t>5</w:t>
      </w:r>
      <w:r w:rsidR="00A85C44">
        <w:t xml:space="preserve"> Obveze proračunskih korisnika za povrat u proračun odnosi se na povrat </w:t>
      </w:r>
      <w:r>
        <w:t>bolovanja preko HZZO-a</w:t>
      </w:r>
      <w:r w:rsidR="00A85C44">
        <w:t xml:space="preserve">. </w:t>
      </w:r>
    </w:p>
    <w:p w14:paraId="3B9E662C" w14:textId="6A824184" w:rsidR="00F84632" w:rsidRDefault="00F06302" w:rsidP="00F06302">
      <w:r>
        <w:t>Promjene na ostalim AOP su neznatne i nemaju značajnijeg  utjecaja na Bilancu.</w:t>
      </w:r>
    </w:p>
    <w:p w14:paraId="46C27B2E" w14:textId="445B3EA7" w:rsidR="00857CD1" w:rsidRDefault="00857CD1" w:rsidP="00F06302">
      <w:r>
        <w:t>Tablica</w:t>
      </w:r>
      <w:r w:rsidR="005027F9">
        <w:t xml:space="preserve"> 1</w:t>
      </w:r>
      <w:r>
        <w:t>: Popis ugovornih odnosa i slično koji uz ispunjenje određenih uvjeta mogu postati obveza ili imovina</w:t>
      </w:r>
    </w:p>
    <w:tbl>
      <w:tblPr>
        <w:tblStyle w:val="Reetkatablice"/>
        <w:tblW w:w="0" w:type="auto"/>
        <w:tblLook w:val="04A0" w:firstRow="1" w:lastRow="0" w:firstColumn="1" w:lastColumn="0" w:noHBand="0" w:noVBand="1"/>
      </w:tblPr>
      <w:tblGrid>
        <w:gridCol w:w="634"/>
        <w:gridCol w:w="1138"/>
        <w:gridCol w:w="1214"/>
        <w:gridCol w:w="1183"/>
        <w:gridCol w:w="1110"/>
        <w:gridCol w:w="1023"/>
        <w:gridCol w:w="1158"/>
        <w:gridCol w:w="897"/>
        <w:gridCol w:w="931"/>
      </w:tblGrid>
      <w:tr w:rsidR="00857CD1" w14:paraId="4DF85FA2" w14:textId="77777777" w:rsidTr="00857CD1">
        <w:tc>
          <w:tcPr>
            <w:tcW w:w="1032" w:type="dxa"/>
          </w:tcPr>
          <w:p w14:paraId="2DFC5B58" w14:textId="77777777" w:rsidR="00857CD1" w:rsidRDefault="00857CD1" w:rsidP="00857CD1">
            <w:r>
              <w:t>Red. br.</w:t>
            </w:r>
          </w:p>
        </w:tc>
        <w:tc>
          <w:tcPr>
            <w:tcW w:w="1032" w:type="dxa"/>
          </w:tcPr>
          <w:p w14:paraId="45490B52" w14:textId="77777777" w:rsidR="00857CD1" w:rsidRDefault="00857CD1" w:rsidP="00F06302">
            <w:r>
              <w:t>Datum izdavanja/</w:t>
            </w:r>
          </w:p>
          <w:p w14:paraId="1E442627" w14:textId="77777777" w:rsidR="00857CD1" w:rsidRDefault="00857CD1" w:rsidP="00F06302">
            <w:r>
              <w:t>primanja jamstva</w:t>
            </w:r>
          </w:p>
        </w:tc>
        <w:tc>
          <w:tcPr>
            <w:tcW w:w="1032" w:type="dxa"/>
          </w:tcPr>
          <w:p w14:paraId="37786615" w14:textId="77777777" w:rsidR="00857CD1" w:rsidRDefault="00857CD1" w:rsidP="00F06302">
            <w:r>
              <w:t>Instrument osiguranja</w:t>
            </w:r>
          </w:p>
        </w:tc>
        <w:tc>
          <w:tcPr>
            <w:tcW w:w="1032" w:type="dxa"/>
          </w:tcPr>
          <w:p w14:paraId="20F10B26" w14:textId="77777777" w:rsidR="00857CD1" w:rsidRDefault="00857CD1" w:rsidP="00F06302">
            <w:r>
              <w:t>Iznos danog/</w:t>
            </w:r>
          </w:p>
          <w:p w14:paraId="5A456A46" w14:textId="77777777" w:rsidR="00857CD1" w:rsidRDefault="00857CD1" w:rsidP="00F06302">
            <w:r>
              <w:t>primljenog jamstva</w:t>
            </w:r>
          </w:p>
        </w:tc>
        <w:tc>
          <w:tcPr>
            <w:tcW w:w="1032" w:type="dxa"/>
          </w:tcPr>
          <w:p w14:paraId="340AE57C" w14:textId="77777777" w:rsidR="00857CD1" w:rsidRDefault="00857CD1" w:rsidP="00F06302">
            <w:r>
              <w:t>Primatelj/ davatelj jamstva</w:t>
            </w:r>
          </w:p>
        </w:tc>
        <w:tc>
          <w:tcPr>
            <w:tcW w:w="1032" w:type="dxa"/>
          </w:tcPr>
          <w:p w14:paraId="211288A9" w14:textId="77777777" w:rsidR="00857CD1" w:rsidRDefault="00857CD1" w:rsidP="00F06302">
            <w:r>
              <w:t>Namjena</w:t>
            </w:r>
          </w:p>
        </w:tc>
        <w:tc>
          <w:tcPr>
            <w:tcW w:w="1032" w:type="dxa"/>
          </w:tcPr>
          <w:p w14:paraId="5F11813A" w14:textId="77777777" w:rsidR="00857CD1" w:rsidRDefault="00857CD1" w:rsidP="00F06302">
            <w:r>
              <w:t>Dokument</w:t>
            </w:r>
          </w:p>
        </w:tc>
        <w:tc>
          <w:tcPr>
            <w:tcW w:w="1032" w:type="dxa"/>
          </w:tcPr>
          <w:p w14:paraId="3D977300" w14:textId="77777777" w:rsidR="00857CD1" w:rsidRDefault="00857CD1" w:rsidP="00F06302">
            <w:r>
              <w:t>Rok važenja</w:t>
            </w:r>
          </w:p>
        </w:tc>
        <w:tc>
          <w:tcPr>
            <w:tcW w:w="1032" w:type="dxa"/>
          </w:tcPr>
          <w:p w14:paraId="7623942C" w14:textId="77777777" w:rsidR="00857CD1" w:rsidRDefault="00857CD1" w:rsidP="00857CD1">
            <w:r>
              <w:t>Napom.</w:t>
            </w:r>
          </w:p>
        </w:tc>
      </w:tr>
      <w:tr w:rsidR="00857CD1" w14:paraId="4DAD3570" w14:textId="77777777" w:rsidTr="00857CD1">
        <w:tc>
          <w:tcPr>
            <w:tcW w:w="1032" w:type="dxa"/>
          </w:tcPr>
          <w:p w14:paraId="4C79A93C" w14:textId="77777777" w:rsidR="00857CD1" w:rsidRPr="00857CD1" w:rsidRDefault="00857CD1" w:rsidP="00857CD1">
            <w:pPr>
              <w:jc w:val="center"/>
              <w:rPr>
                <w:b/>
              </w:rPr>
            </w:pPr>
            <w:r w:rsidRPr="00857CD1">
              <w:rPr>
                <w:b/>
              </w:rPr>
              <w:t>-</w:t>
            </w:r>
          </w:p>
        </w:tc>
        <w:tc>
          <w:tcPr>
            <w:tcW w:w="1032" w:type="dxa"/>
          </w:tcPr>
          <w:p w14:paraId="725E4566" w14:textId="77777777" w:rsidR="00857CD1" w:rsidRPr="00857CD1" w:rsidRDefault="00857CD1" w:rsidP="00857CD1">
            <w:pPr>
              <w:jc w:val="center"/>
              <w:rPr>
                <w:b/>
              </w:rPr>
            </w:pPr>
            <w:r w:rsidRPr="00857CD1">
              <w:rPr>
                <w:b/>
              </w:rPr>
              <w:t>-</w:t>
            </w:r>
          </w:p>
        </w:tc>
        <w:tc>
          <w:tcPr>
            <w:tcW w:w="1032" w:type="dxa"/>
          </w:tcPr>
          <w:p w14:paraId="25995BC2" w14:textId="77777777" w:rsidR="00857CD1" w:rsidRPr="00857CD1" w:rsidRDefault="00857CD1" w:rsidP="00857CD1">
            <w:pPr>
              <w:jc w:val="center"/>
              <w:rPr>
                <w:b/>
              </w:rPr>
            </w:pPr>
            <w:r w:rsidRPr="00857CD1">
              <w:rPr>
                <w:b/>
              </w:rPr>
              <w:t>-</w:t>
            </w:r>
          </w:p>
        </w:tc>
        <w:tc>
          <w:tcPr>
            <w:tcW w:w="1032" w:type="dxa"/>
          </w:tcPr>
          <w:p w14:paraId="0761E524" w14:textId="77777777" w:rsidR="00857CD1" w:rsidRPr="00857CD1" w:rsidRDefault="00857CD1" w:rsidP="00857CD1">
            <w:pPr>
              <w:jc w:val="center"/>
              <w:rPr>
                <w:b/>
              </w:rPr>
            </w:pPr>
            <w:r w:rsidRPr="00857CD1">
              <w:rPr>
                <w:b/>
              </w:rPr>
              <w:t>-</w:t>
            </w:r>
          </w:p>
        </w:tc>
        <w:tc>
          <w:tcPr>
            <w:tcW w:w="1032" w:type="dxa"/>
          </w:tcPr>
          <w:p w14:paraId="51A04A61" w14:textId="77777777" w:rsidR="00857CD1" w:rsidRPr="00857CD1" w:rsidRDefault="00857CD1" w:rsidP="00857CD1">
            <w:pPr>
              <w:jc w:val="center"/>
              <w:rPr>
                <w:b/>
              </w:rPr>
            </w:pPr>
            <w:r w:rsidRPr="00857CD1">
              <w:rPr>
                <w:b/>
              </w:rPr>
              <w:t>-</w:t>
            </w:r>
          </w:p>
        </w:tc>
        <w:tc>
          <w:tcPr>
            <w:tcW w:w="1032" w:type="dxa"/>
          </w:tcPr>
          <w:p w14:paraId="0D523CD7" w14:textId="77777777" w:rsidR="00857CD1" w:rsidRPr="00857CD1" w:rsidRDefault="00857CD1" w:rsidP="00857CD1">
            <w:pPr>
              <w:jc w:val="center"/>
              <w:rPr>
                <w:b/>
              </w:rPr>
            </w:pPr>
            <w:r w:rsidRPr="00857CD1">
              <w:rPr>
                <w:b/>
              </w:rPr>
              <w:t>-</w:t>
            </w:r>
          </w:p>
        </w:tc>
        <w:tc>
          <w:tcPr>
            <w:tcW w:w="1032" w:type="dxa"/>
          </w:tcPr>
          <w:p w14:paraId="26F4B02A" w14:textId="77777777" w:rsidR="00857CD1" w:rsidRPr="00857CD1" w:rsidRDefault="00857CD1" w:rsidP="00857CD1">
            <w:pPr>
              <w:jc w:val="center"/>
              <w:rPr>
                <w:b/>
              </w:rPr>
            </w:pPr>
            <w:r w:rsidRPr="00857CD1">
              <w:rPr>
                <w:b/>
              </w:rPr>
              <w:t>-</w:t>
            </w:r>
          </w:p>
        </w:tc>
        <w:tc>
          <w:tcPr>
            <w:tcW w:w="1032" w:type="dxa"/>
          </w:tcPr>
          <w:p w14:paraId="14170D9B" w14:textId="77777777" w:rsidR="00857CD1" w:rsidRPr="00857CD1" w:rsidRDefault="00857CD1" w:rsidP="00857CD1">
            <w:pPr>
              <w:jc w:val="center"/>
              <w:rPr>
                <w:b/>
              </w:rPr>
            </w:pPr>
            <w:r w:rsidRPr="00857CD1">
              <w:rPr>
                <w:b/>
              </w:rPr>
              <w:t>-</w:t>
            </w:r>
          </w:p>
        </w:tc>
        <w:tc>
          <w:tcPr>
            <w:tcW w:w="1032" w:type="dxa"/>
          </w:tcPr>
          <w:p w14:paraId="5371BEB0" w14:textId="77777777" w:rsidR="00857CD1" w:rsidRPr="00857CD1" w:rsidRDefault="00857CD1" w:rsidP="00857CD1">
            <w:pPr>
              <w:jc w:val="center"/>
              <w:rPr>
                <w:b/>
              </w:rPr>
            </w:pPr>
            <w:r w:rsidRPr="00857CD1">
              <w:rPr>
                <w:b/>
              </w:rPr>
              <w:t>-</w:t>
            </w:r>
          </w:p>
        </w:tc>
      </w:tr>
    </w:tbl>
    <w:p w14:paraId="76F61C5A" w14:textId="7D04B90A" w:rsidR="002F2AC7" w:rsidRDefault="002F2AC7" w:rsidP="003A5EBF">
      <w:pPr>
        <w:pStyle w:val="Bezproreda"/>
      </w:pPr>
    </w:p>
    <w:p w14:paraId="393BC2B3" w14:textId="7A1A76DF" w:rsidR="002F2AC7" w:rsidRDefault="002F2AC7" w:rsidP="003A5EBF">
      <w:pPr>
        <w:pStyle w:val="Bezproreda"/>
      </w:pPr>
      <w:r w:rsidRPr="00B568CE">
        <w:rPr>
          <w:u w:val="single"/>
        </w:rPr>
        <w:t>Bilješka broj 2</w:t>
      </w:r>
      <w:r w:rsidR="00DA361F" w:rsidRPr="00B568CE">
        <w:rPr>
          <w:u w:val="single"/>
        </w:rPr>
        <w:t>9</w:t>
      </w:r>
      <w:r>
        <w:t xml:space="preserve"> - Školska ustanova nema iskazane podatke u izvanbilančnoj evidenciji o ugovornim odnosima koji bi uz ispunjenje određenih uvjeta mogli postati obveza ili imovina pa se obvezni propisani podaci u tablici ne prikazuju.</w:t>
      </w:r>
    </w:p>
    <w:p w14:paraId="782D9883" w14:textId="77777777" w:rsidR="002F2AC7" w:rsidRDefault="002F2AC7" w:rsidP="003A5EBF">
      <w:pPr>
        <w:pStyle w:val="Bezproreda"/>
      </w:pPr>
    </w:p>
    <w:p w14:paraId="7BE19A57" w14:textId="5E32B13A" w:rsidR="006C708C" w:rsidRDefault="006C708C" w:rsidP="003A5EBF">
      <w:pPr>
        <w:pStyle w:val="Bezproreda"/>
      </w:pPr>
      <w:r>
        <w:t>Tablica</w:t>
      </w:r>
      <w:r w:rsidR="005027F9">
        <w:t xml:space="preserve"> 2</w:t>
      </w:r>
      <w:r>
        <w:t>: Popis sudskih sporova u tijeku</w:t>
      </w:r>
    </w:p>
    <w:p w14:paraId="18EAE87B" w14:textId="4617C5E1" w:rsidR="006C708C" w:rsidRDefault="006C708C" w:rsidP="003A5EBF">
      <w:pPr>
        <w:pStyle w:val="Bezproreda"/>
      </w:pPr>
    </w:p>
    <w:tbl>
      <w:tblPr>
        <w:tblStyle w:val="Reetkatablice"/>
        <w:tblW w:w="0" w:type="auto"/>
        <w:tblLook w:val="04A0" w:firstRow="1" w:lastRow="0" w:firstColumn="1" w:lastColumn="0" w:noHBand="0" w:noVBand="1"/>
      </w:tblPr>
      <w:tblGrid>
        <w:gridCol w:w="699"/>
        <w:gridCol w:w="928"/>
        <w:gridCol w:w="897"/>
        <w:gridCol w:w="908"/>
        <w:gridCol w:w="961"/>
        <w:gridCol w:w="1272"/>
        <w:gridCol w:w="1338"/>
        <w:gridCol w:w="1083"/>
        <w:gridCol w:w="1202"/>
      </w:tblGrid>
      <w:tr w:rsidR="006C708C" w14:paraId="0C801439" w14:textId="77777777" w:rsidTr="002F2AC7">
        <w:tc>
          <w:tcPr>
            <w:tcW w:w="749" w:type="dxa"/>
          </w:tcPr>
          <w:p w14:paraId="06E56751" w14:textId="77777777" w:rsidR="006C708C" w:rsidRDefault="00857CD1" w:rsidP="003A5EBF">
            <w:pPr>
              <w:pStyle w:val="Bezproreda"/>
            </w:pPr>
            <w:r>
              <w:t>Red.</w:t>
            </w:r>
          </w:p>
          <w:p w14:paraId="29B93D7C" w14:textId="77777777" w:rsidR="00857CD1" w:rsidRDefault="00857CD1" w:rsidP="003A5EBF">
            <w:pPr>
              <w:pStyle w:val="Bezproreda"/>
            </w:pPr>
            <w:r>
              <w:t>br.</w:t>
            </w:r>
          </w:p>
        </w:tc>
        <w:tc>
          <w:tcPr>
            <w:tcW w:w="943" w:type="dxa"/>
          </w:tcPr>
          <w:p w14:paraId="42787438" w14:textId="77777777" w:rsidR="00857CD1" w:rsidRDefault="00857CD1" w:rsidP="003A5EBF">
            <w:pPr>
              <w:pStyle w:val="Bezproreda"/>
            </w:pPr>
            <w:r>
              <w:t>Tuženik</w:t>
            </w:r>
          </w:p>
        </w:tc>
        <w:tc>
          <w:tcPr>
            <w:tcW w:w="917" w:type="dxa"/>
          </w:tcPr>
          <w:p w14:paraId="220F6EB3" w14:textId="77777777" w:rsidR="00857CD1" w:rsidRDefault="00857CD1" w:rsidP="003A5EBF">
            <w:pPr>
              <w:pStyle w:val="Bezproreda"/>
            </w:pPr>
            <w:r>
              <w:t>Tužitelj</w:t>
            </w:r>
          </w:p>
        </w:tc>
        <w:tc>
          <w:tcPr>
            <w:tcW w:w="926" w:type="dxa"/>
          </w:tcPr>
          <w:p w14:paraId="45168126" w14:textId="77777777" w:rsidR="00857CD1" w:rsidRDefault="00857CD1" w:rsidP="003A5EBF">
            <w:pPr>
              <w:pStyle w:val="Bezproreda"/>
            </w:pPr>
            <w:r>
              <w:t>Sažeti opis prirode spora</w:t>
            </w:r>
          </w:p>
        </w:tc>
        <w:tc>
          <w:tcPr>
            <w:tcW w:w="972" w:type="dxa"/>
          </w:tcPr>
          <w:p w14:paraId="0B656A85" w14:textId="77777777" w:rsidR="00857CD1" w:rsidRDefault="00857CD1" w:rsidP="003A5EBF">
            <w:pPr>
              <w:pStyle w:val="Bezproreda"/>
            </w:pPr>
            <w:r>
              <w:t>Iznos glavnice</w:t>
            </w:r>
          </w:p>
        </w:tc>
        <w:tc>
          <w:tcPr>
            <w:tcW w:w="1272" w:type="dxa"/>
          </w:tcPr>
          <w:p w14:paraId="4CB43061" w14:textId="77777777" w:rsidR="00857CD1" w:rsidRDefault="00857CD1" w:rsidP="003A5EBF">
            <w:pPr>
              <w:pStyle w:val="Bezproreda"/>
            </w:pPr>
            <w:r>
              <w:t>Procjena financijskog učinka</w:t>
            </w:r>
          </w:p>
        </w:tc>
        <w:tc>
          <w:tcPr>
            <w:tcW w:w="1338" w:type="dxa"/>
          </w:tcPr>
          <w:p w14:paraId="37B0DEB1" w14:textId="77777777" w:rsidR="006C708C" w:rsidRDefault="00857CD1" w:rsidP="003A5EBF">
            <w:pPr>
              <w:pStyle w:val="Bezproreda"/>
            </w:pPr>
            <w:r>
              <w:t>Procijenjeno vrijeme odljeva/</w:t>
            </w:r>
          </w:p>
          <w:p w14:paraId="175C03E5" w14:textId="77777777" w:rsidR="00857CD1" w:rsidRDefault="00857CD1" w:rsidP="003A5EBF">
            <w:pPr>
              <w:pStyle w:val="Bezproreda"/>
            </w:pPr>
            <w:r>
              <w:t xml:space="preserve">priljeva sredstava </w:t>
            </w:r>
          </w:p>
        </w:tc>
        <w:tc>
          <w:tcPr>
            <w:tcW w:w="969" w:type="dxa"/>
          </w:tcPr>
          <w:p w14:paraId="400E28A1" w14:textId="77777777" w:rsidR="00857CD1" w:rsidRDefault="00857CD1" w:rsidP="003A5EBF">
            <w:pPr>
              <w:pStyle w:val="Bezproreda"/>
            </w:pPr>
            <w:r>
              <w:t>Početak sudskog spora</w:t>
            </w:r>
          </w:p>
        </w:tc>
        <w:tc>
          <w:tcPr>
            <w:tcW w:w="1202" w:type="dxa"/>
          </w:tcPr>
          <w:p w14:paraId="7A398A6B" w14:textId="77777777" w:rsidR="00857CD1" w:rsidRDefault="006C708C" w:rsidP="006C708C">
            <w:pPr>
              <w:pStyle w:val="Bezproreda"/>
            </w:pPr>
            <w:r>
              <w:t>Napomena</w:t>
            </w:r>
          </w:p>
        </w:tc>
      </w:tr>
      <w:tr w:rsidR="006C708C" w14:paraId="56C99701" w14:textId="77777777" w:rsidTr="002F2AC7">
        <w:tc>
          <w:tcPr>
            <w:tcW w:w="749" w:type="dxa"/>
          </w:tcPr>
          <w:p w14:paraId="2894912C" w14:textId="7C4FCA1D" w:rsidR="00857CD1" w:rsidRPr="002F2AC7" w:rsidRDefault="002F2AC7" w:rsidP="006C708C">
            <w:pPr>
              <w:pStyle w:val="Bezproreda"/>
              <w:jc w:val="center"/>
              <w:rPr>
                <w:bCs/>
              </w:rPr>
            </w:pPr>
            <w:r>
              <w:rPr>
                <w:bCs/>
              </w:rPr>
              <w:t>1</w:t>
            </w:r>
          </w:p>
        </w:tc>
        <w:tc>
          <w:tcPr>
            <w:tcW w:w="943" w:type="dxa"/>
          </w:tcPr>
          <w:p w14:paraId="6691FCE1" w14:textId="1A1F41DF" w:rsidR="00857CD1" w:rsidRPr="002F2AC7" w:rsidRDefault="002F2AC7" w:rsidP="006C708C">
            <w:pPr>
              <w:pStyle w:val="Bezproreda"/>
              <w:jc w:val="center"/>
              <w:rPr>
                <w:bCs/>
                <w:sz w:val="18"/>
                <w:szCs w:val="18"/>
              </w:rPr>
            </w:pPr>
            <w:r w:rsidRPr="002F2AC7">
              <w:rPr>
                <w:bCs/>
                <w:sz w:val="18"/>
                <w:szCs w:val="18"/>
              </w:rPr>
              <w:t>Škola</w:t>
            </w:r>
          </w:p>
        </w:tc>
        <w:tc>
          <w:tcPr>
            <w:tcW w:w="917" w:type="dxa"/>
          </w:tcPr>
          <w:p w14:paraId="099F30EA" w14:textId="6CB82A05" w:rsidR="00857CD1" w:rsidRPr="002F2AC7" w:rsidRDefault="002F2AC7" w:rsidP="006C708C">
            <w:pPr>
              <w:pStyle w:val="Bezproreda"/>
              <w:jc w:val="center"/>
              <w:rPr>
                <w:bCs/>
                <w:sz w:val="18"/>
                <w:szCs w:val="18"/>
              </w:rPr>
            </w:pPr>
            <w:r w:rsidRPr="002F2AC7">
              <w:rPr>
                <w:bCs/>
                <w:sz w:val="18"/>
                <w:szCs w:val="18"/>
              </w:rPr>
              <w:t>Radnik 1</w:t>
            </w:r>
          </w:p>
        </w:tc>
        <w:tc>
          <w:tcPr>
            <w:tcW w:w="926" w:type="dxa"/>
          </w:tcPr>
          <w:p w14:paraId="3B242712" w14:textId="22BF6DAA" w:rsidR="00857CD1" w:rsidRPr="002F2AC7" w:rsidRDefault="002F2AC7" w:rsidP="006C708C">
            <w:pPr>
              <w:pStyle w:val="Bezproreda"/>
              <w:jc w:val="center"/>
              <w:rPr>
                <w:bCs/>
                <w:sz w:val="18"/>
                <w:szCs w:val="18"/>
              </w:rPr>
            </w:pPr>
            <w:r w:rsidRPr="002F2AC7">
              <w:rPr>
                <w:bCs/>
                <w:sz w:val="18"/>
                <w:szCs w:val="18"/>
              </w:rPr>
              <w:t>Razlika plaće</w:t>
            </w:r>
          </w:p>
        </w:tc>
        <w:tc>
          <w:tcPr>
            <w:tcW w:w="972" w:type="dxa"/>
          </w:tcPr>
          <w:p w14:paraId="74FBC1DD" w14:textId="197F2457" w:rsidR="00857CD1" w:rsidRPr="002F2AC7" w:rsidRDefault="00F80F12" w:rsidP="006C708C">
            <w:pPr>
              <w:pStyle w:val="Bezproreda"/>
              <w:jc w:val="center"/>
              <w:rPr>
                <w:bCs/>
                <w:sz w:val="18"/>
                <w:szCs w:val="18"/>
              </w:rPr>
            </w:pPr>
            <w:r>
              <w:rPr>
                <w:bCs/>
                <w:sz w:val="18"/>
                <w:szCs w:val="18"/>
              </w:rPr>
              <w:t>9.159,97</w:t>
            </w:r>
          </w:p>
        </w:tc>
        <w:tc>
          <w:tcPr>
            <w:tcW w:w="1272" w:type="dxa"/>
          </w:tcPr>
          <w:p w14:paraId="794943CD" w14:textId="6B261359" w:rsidR="00857CD1" w:rsidRPr="002F2AC7" w:rsidRDefault="00A77AC9" w:rsidP="006C708C">
            <w:pPr>
              <w:pStyle w:val="Bezproreda"/>
              <w:jc w:val="center"/>
              <w:rPr>
                <w:bCs/>
                <w:sz w:val="18"/>
                <w:szCs w:val="18"/>
              </w:rPr>
            </w:pPr>
            <w:r>
              <w:rPr>
                <w:bCs/>
                <w:sz w:val="18"/>
                <w:szCs w:val="18"/>
              </w:rPr>
              <w:t>13</w:t>
            </w:r>
            <w:r w:rsidR="000F5A85">
              <w:rPr>
                <w:bCs/>
                <w:sz w:val="18"/>
                <w:szCs w:val="18"/>
              </w:rPr>
              <w:t>.</w:t>
            </w:r>
            <w:r>
              <w:rPr>
                <w:bCs/>
                <w:sz w:val="18"/>
                <w:szCs w:val="18"/>
              </w:rPr>
              <w:t>347,47</w:t>
            </w:r>
          </w:p>
        </w:tc>
        <w:tc>
          <w:tcPr>
            <w:tcW w:w="1338" w:type="dxa"/>
          </w:tcPr>
          <w:p w14:paraId="0ABB0DE1" w14:textId="6B8EE510" w:rsidR="00857CD1" w:rsidRPr="002F2AC7" w:rsidRDefault="002F2AC7" w:rsidP="006C708C">
            <w:pPr>
              <w:pStyle w:val="Bezproreda"/>
              <w:jc w:val="center"/>
              <w:rPr>
                <w:bCs/>
                <w:sz w:val="18"/>
                <w:szCs w:val="18"/>
              </w:rPr>
            </w:pPr>
            <w:r w:rsidRPr="002F2AC7">
              <w:rPr>
                <w:bCs/>
                <w:sz w:val="18"/>
                <w:szCs w:val="18"/>
              </w:rPr>
              <w:t>Tijekom 2022.</w:t>
            </w:r>
          </w:p>
        </w:tc>
        <w:tc>
          <w:tcPr>
            <w:tcW w:w="969" w:type="dxa"/>
          </w:tcPr>
          <w:p w14:paraId="451034B3" w14:textId="620E3AA6" w:rsidR="00857CD1" w:rsidRPr="002F2AC7" w:rsidRDefault="00F80F12" w:rsidP="006C708C">
            <w:pPr>
              <w:pStyle w:val="Bezproreda"/>
              <w:jc w:val="center"/>
              <w:rPr>
                <w:bCs/>
                <w:sz w:val="18"/>
                <w:szCs w:val="18"/>
              </w:rPr>
            </w:pPr>
            <w:r>
              <w:rPr>
                <w:bCs/>
                <w:sz w:val="18"/>
                <w:szCs w:val="18"/>
              </w:rPr>
              <w:t>08.01.2021.</w:t>
            </w:r>
          </w:p>
        </w:tc>
        <w:tc>
          <w:tcPr>
            <w:tcW w:w="1202" w:type="dxa"/>
          </w:tcPr>
          <w:p w14:paraId="19C28734" w14:textId="77777777" w:rsidR="00857CD1" w:rsidRPr="002F2AC7" w:rsidRDefault="006C708C" w:rsidP="006C708C">
            <w:pPr>
              <w:pStyle w:val="Bezproreda"/>
              <w:jc w:val="center"/>
              <w:rPr>
                <w:bCs/>
                <w:sz w:val="18"/>
                <w:szCs w:val="18"/>
              </w:rPr>
            </w:pPr>
            <w:r w:rsidRPr="002F2AC7">
              <w:rPr>
                <w:bCs/>
                <w:sz w:val="18"/>
                <w:szCs w:val="18"/>
              </w:rPr>
              <w:t>-</w:t>
            </w:r>
          </w:p>
        </w:tc>
      </w:tr>
      <w:tr w:rsidR="002F2AC7" w14:paraId="2E903178" w14:textId="77777777" w:rsidTr="002F2AC7">
        <w:tc>
          <w:tcPr>
            <w:tcW w:w="749" w:type="dxa"/>
          </w:tcPr>
          <w:p w14:paraId="33B4F073" w14:textId="18BDD561" w:rsidR="002F2AC7" w:rsidRPr="002F2AC7" w:rsidRDefault="002F2AC7" w:rsidP="002F2AC7">
            <w:pPr>
              <w:pStyle w:val="Bezproreda"/>
              <w:jc w:val="center"/>
              <w:rPr>
                <w:bCs/>
              </w:rPr>
            </w:pPr>
            <w:r>
              <w:rPr>
                <w:bCs/>
              </w:rPr>
              <w:t>2</w:t>
            </w:r>
          </w:p>
        </w:tc>
        <w:tc>
          <w:tcPr>
            <w:tcW w:w="943" w:type="dxa"/>
          </w:tcPr>
          <w:p w14:paraId="3F794252" w14:textId="44C40DC2" w:rsidR="002F2AC7" w:rsidRPr="002F2AC7" w:rsidRDefault="002F2AC7" w:rsidP="002F2AC7">
            <w:pPr>
              <w:pStyle w:val="Bezproreda"/>
              <w:jc w:val="center"/>
              <w:rPr>
                <w:bCs/>
                <w:sz w:val="18"/>
                <w:szCs w:val="18"/>
              </w:rPr>
            </w:pPr>
            <w:r w:rsidRPr="002F2AC7">
              <w:rPr>
                <w:bCs/>
                <w:sz w:val="18"/>
                <w:szCs w:val="18"/>
              </w:rPr>
              <w:t>Škola</w:t>
            </w:r>
          </w:p>
        </w:tc>
        <w:tc>
          <w:tcPr>
            <w:tcW w:w="917" w:type="dxa"/>
          </w:tcPr>
          <w:p w14:paraId="29F215C3" w14:textId="706C8504" w:rsidR="002F2AC7" w:rsidRPr="002F2AC7" w:rsidRDefault="002F2AC7" w:rsidP="002F2AC7">
            <w:pPr>
              <w:pStyle w:val="Bezproreda"/>
              <w:jc w:val="center"/>
              <w:rPr>
                <w:bCs/>
                <w:sz w:val="18"/>
                <w:szCs w:val="18"/>
              </w:rPr>
            </w:pPr>
            <w:r w:rsidRPr="002F2AC7">
              <w:rPr>
                <w:bCs/>
                <w:sz w:val="18"/>
                <w:szCs w:val="18"/>
              </w:rPr>
              <w:t>Radnik 2</w:t>
            </w:r>
          </w:p>
        </w:tc>
        <w:tc>
          <w:tcPr>
            <w:tcW w:w="926" w:type="dxa"/>
          </w:tcPr>
          <w:p w14:paraId="4739A8BD" w14:textId="72460ECE" w:rsidR="002F2AC7" w:rsidRPr="002F2AC7" w:rsidRDefault="002F2AC7" w:rsidP="002F2AC7">
            <w:pPr>
              <w:pStyle w:val="Bezproreda"/>
              <w:jc w:val="center"/>
              <w:rPr>
                <w:bCs/>
                <w:sz w:val="18"/>
                <w:szCs w:val="18"/>
              </w:rPr>
            </w:pPr>
            <w:r w:rsidRPr="002F2AC7">
              <w:rPr>
                <w:bCs/>
                <w:sz w:val="18"/>
                <w:szCs w:val="18"/>
              </w:rPr>
              <w:t>Razlika plaće</w:t>
            </w:r>
          </w:p>
        </w:tc>
        <w:tc>
          <w:tcPr>
            <w:tcW w:w="972" w:type="dxa"/>
          </w:tcPr>
          <w:p w14:paraId="0A0B3EC5" w14:textId="59E56A35" w:rsidR="002F2AC7" w:rsidRPr="002F2AC7" w:rsidRDefault="00F80F12" w:rsidP="002F2AC7">
            <w:pPr>
              <w:pStyle w:val="Bezproreda"/>
              <w:jc w:val="center"/>
              <w:rPr>
                <w:bCs/>
                <w:sz w:val="18"/>
                <w:szCs w:val="18"/>
              </w:rPr>
            </w:pPr>
            <w:r>
              <w:rPr>
                <w:bCs/>
                <w:sz w:val="18"/>
                <w:szCs w:val="18"/>
              </w:rPr>
              <w:t>4.183,48</w:t>
            </w:r>
          </w:p>
        </w:tc>
        <w:tc>
          <w:tcPr>
            <w:tcW w:w="1272" w:type="dxa"/>
          </w:tcPr>
          <w:p w14:paraId="6C73B274" w14:textId="190F2128" w:rsidR="002F2AC7" w:rsidRPr="002F2AC7" w:rsidRDefault="00A77AC9" w:rsidP="002F2AC7">
            <w:pPr>
              <w:pStyle w:val="Bezproreda"/>
              <w:jc w:val="center"/>
              <w:rPr>
                <w:bCs/>
                <w:sz w:val="18"/>
                <w:szCs w:val="18"/>
              </w:rPr>
            </w:pPr>
            <w:r>
              <w:rPr>
                <w:bCs/>
                <w:sz w:val="18"/>
                <w:szCs w:val="18"/>
              </w:rPr>
              <w:t>8</w:t>
            </w:r>
            <w:r w:rsidR="000F5A85">
              <w:rPr>
                <w:bCs/>
                <w:sz w:val="18"/>
                <w:szCs w:val="18"/>
              </w:rPr>
              <w:t>.</w:t>
            </w:r>
            <w:r>
              <w:rPr>
                <w:bCs/>
                <w:sz w:val="18"/>
                <w:szCs w:val="18"/>
              </w:rPr>
              <w:t>370,98</w:t>
            </w:r>
          </w:p>
        </w:tc>
        <w:tc>
          <w:tcPr>
            <w:tcW w:w="1338" w:type="dxa"/>
          </w:tcPr>
          <w:p w14:paraId="2D91F065" w14:textId="0856715A" w:rsidR="002F2AC7" w:rsidRPr="002F2AC7" w:rsidRDefault="002F2AC7" w:rsidP="002F2AC7">
            <w:pPr>
              <w:pStyle w:val="Bezproreda"/>
              <w:jc w:val="center"/>
              <w:rPr>
                <w:bCs/>
                <w:sz w:val="18"/>
                <w:szCs w:val="18"/>
              </w:rPr>
            </w:pPr>
            <w:r w:rsidRPr="002F2AC7">
              <w:rPr>
                <w:bCs/>
                <w:sz w:val="18"/>
                <w:szCs w:val="18"/>
              </w:rPr>
              <w:t>Tijekom 2022.</w:t>
            </w:r>
          </w:p>
        </w:tc>
        <w:tc>
          <w:tcPr>
            <w:tcW w:w="969" w:type="dxa"/>
          </w:tcPr>
          <w:p w14:paraId="52C02E07" w14:textId="7DEB6542" w:rsidR="002F2AC7" w:rsidRPr="002F2AC7" w:rsidRDefault="00F80F12" w:rsidP="002F2AC7">
            <w:pPr>
              <w:pStyle w:val="Bezproreda"/>
              <w:jc w:val="center"/>
              <w:rPr>
                <w:bCs/>
                <w:sz w:val="18"/>
                <w:szCs w:val="18"/>
              </w:rPr>
            </w:pPr>
            <w:r>
              <w:rPr>
                <w:bCs/>
                <w:sz w:val="18"/>
                <w:szCs w:val="18"/>
              </w:rPr>
              <w:t>01.02.2021.</w:t>
            </w:r>
          </w:p>
        </w:tc>
        <w:tc>
          <w:tcPr>
            <w:tcW w:w="1202" w:type="dxa"/>
          </w:tcPr>
          <w:p w14:paraId="31B2AC7E" w14:textId="77777777" w:rsidR="002F2AC7" w:rsidRPr="002F2AC7" w:rsidRDefault="002F2AC7" w:rsidP="002F2AC7">
            <w:pPr>
              <w:pStyle w:val="Bezproreda"/>
              <w:jc w:val="center"/>
              <w:rPr>
                <w:bCs/>
                <w:sz w:val="18"/>
                <w:szCs w:val="18"/>
              </w:rPr>
            </w:pPr>
          </w:p>
        </w:tc>
      </w:tr>
      <w:tr w:rsidR="002F2AC7" w14:paraId="4533A9E0" w14:textId="77777777" w:rsidTr="002F2AC7">
        <w:tc>
          <w:tcPr>
            <w:tcW w:w="749" w:type="dxa"/>
          </w:tcPr>
          <w:p w14:paraId="5072A7B2" w14:textId="6A08C798" w:rsidR="002F2AC7" w:rsidRDefault="002F2AC7" w:rsidP="002F2AC7">
            <w:pPr>
              <w:pStyle w:val="Bezproreda"/>
              <w:jc w:val="center"/>
              <w:rPr>
                <w:bCs/>
              </w:rPr>
            </w:pPr>
            <w:r>
              <w:rPr>
                <w:bCs/>
              </w:rPr>
              <w:t>3</w:t>
            </w:r>
          </w:p>
        </w:tc>
        <w:tc>
          <w:tcPr>
            <w:tcW w:w="943" w:type="dxa"/>
          </w:tcPr>
          <w:p w14:paraId="599827D6" w14:textId="057ABFC9" w:rsidR="002F2AC7" w:rsidRPr="002F2AC7" w:rsidRDefault="002F2AC7" w:rsidP="002F2AC7">
            <w:pPr>
              <w:pStyle w:val="Bezproreda"/>
              <w:jc w:val="center"/>
              <w:rPr>
                <w:bCs/>
                <w:sz w:val="18"/>
                <w:szCs w:val="18"/>
              </w:rPr>
            </w:pPr>
            <w:r w:rsidRPr="002F2AC7">
              <w:rPr>
                <w:bCs/>
                <w:sz w:val="18"/>
                <w:szCs w:val="18"/>
              </w:rPr>
              <w:t>Škola</w:t>
            </w:r>
          </w:p>
        </w:tc>
        <w:tc>
          <w:tcPr>
            <w:tcW w:w="917" w:type="dxa"/>
          </w:tcPr>
          <w:p w14:paraId="3D3D2438" w14:textId="3DFDDA40" w:rsidR="002F2AC7" w:rsidRPr="002F2AC7" w:rsidRDefault="002F2AC7" w:rsidP="002F2AC7">
            <w:pPr>
              <w:pStyle w:val="Bezproreda"/>
              <w:jc w:val="center"/>
              <w:rPr>
                <w:bCs/>
                <w:sz w:val="18"/>
                <w:szCs w:val="18"/>
              </w:rPr>
            </w:pPr>
            <w:r w:rsidRPr="002F2AC7">
              <w:rPr>
                <w:bCs/>
                <w:sz w:val="18"/>
                <w:szCs w:val="18"/>
              </w:rPr>
              <w:t>Radnik 3</w:t>
            </w:r>
          </w:p>
        </w:tc>
        <w:tc>
          <w:tcPr>
            <w:tcW w:w="926" w:type="dxa"/>
          </w:tcPr>
          <w:p w14:paraId="6DA34C43" w14:textId="1F4EA45F" w:rsidR="002F2AC7" w:rsidRPr="002F2AC7" w:rsidRDefault="002F2AC7" w:rsidP="002F2AC7">
            <w:pPr>
              <w:pStyle w:val="Bezproreda"/>
              <w:jc w:val="center"/>
              <w:rPr>
                <w:bCs/>
                <w:sz w:val="18"/>
                <w:szCs w:val="18"/>
              </w:rPr>
            </w:pPr>
            <w:r w:rsidRPr="002F2AC7">
              <w:rPr>
                <w:bCs/>
                <w:sz w:val="18"/>
                <w:szCs w:val="18"/>
              </w:rPr>
              <w:t>Razlika plaće</w:t>
            </w:r>
          </w:p>
        </w:tc>
        <w:tc>
          <w:tcPr>
            <w:tcW w:w="972" w:type="dxa"/>
          </w:tcPr>
          <w:p w14:paraId="2CB190F7" w14:textId="1DD7F52D" w:rsidR="002F2AC7" w:rsidRPr="002F2AC7" w:rsidRDefault="00F80F12" w:rsidP="002F2AC7">
            <w:pPr>
              <w:pStyle w:val="Bezproreda"/>
              <w:jc w:val="center"/>
              <w:rPr>
                <w:bCs/>
                <w:sz w:val="18"/>
                <w:szCs w:val="18"/>
              </w:rPr>
            </w:pPr>
            <w:r>
              <w:rPr>
                <w:bCs/>
                <w:sz w:val="18"/>
                <w:szCs w:val="18"/>
              </w:rPr>
              <w:t>4.492,64</w:t>
            </w:r>
          </w:p>
        </w:tc>
        <w:tc>
          <w:tcPr>
            <w:tcW w:w="1272" w:type="dxa"/>
          </w:tcPr>
          <w:p w14:paraId="3313197D" w14:textId="7477BBE4" w:rsidR="002F2AC7" w:rsidRPr="002F2AC7" w:rsidRDefault="00A77AC9" w:rsidP="002F2AC7">
            <w:pPr>
              <w:pStyle w:val="Bezproreda"/>
              <w:jc w:val="center"/>
              <w:rPr>
                <w:bCs/>
                <w:sz w:val="18"/>
                <w:szCs w:val="18"/>
              </w:rPr>
            </w:pPr>
            <w:r>
              <w:rPr>
                <w:bCs/>
                <w:sz w:val="18"/>
                <w:szCs w:val="18"/>
              </w:rPr>
              <w:t>8</w:t>
            </w:r>
            <w:r w:rsidR="000F5A85">
              <w:rPr>
                <w:bCs/>
                <w:sz w:val="18"/>
                <w:szCs w:val="18"/>
              </w:rPr>
              <w:t>.</w:t>
            </w:r>
            <w:r>
              <w:rPr>
                <w:bCs/>
                <w:sz w:val="18"/>
                <w:szCs w:val="18"/>
              </w:rPr>
              <w:t>680,14</w:t>
            </w:r>
          </w:p>
        </w:tc>
        <w:tc>
          <w:tcPr>
            <w:tcW w:w="1338" w:type="dxa"/>
          </w:tcPr>
          <w:p w14:paraId="7EC5AE5E" w14:textId="49482B2A" w:rsidR="002F2AC7" w:rsidRPr="002F2AC7" w:rsidRDefault="002F2AC7" w:rsidP="002F2AC7">
            <w:pPr>
              <w:pStyle w:val="Bezproreda"/>
              <w:jc w:val="center"/>
              <w:rPr>
                <w:bCs/>
                <w:sz w:val="18"/>
                <w:szCs w:val="18"/>
              </w:rPr>
            </w:pPr>
            <w:r w:rsidRPr="002F2AC7">
              <w:rPr>
                <w:bCs/>
                <w:sz w:val="18"/>
                <w:szCs w:val="18"/>
              </w:rPr>
              <w:t>Tijekom 2022.</w:t>
            </w:r>
          </w:p>
        </w:tc>
        <w:tc>
          <w:tcPr>
            <w:tcW w:w="969" w:type="dxa"/>
          </w:tcPr>
          <w:p w14:paraId="00BF43D0" w14:textId="1ED1378D" w:rsidR="002F2AC7" w:rsidRPr="002F2AC7" w:rsidRDefault="00F80F12" w:rsidP="002F2AC7">
            <w:pPr>
              <w:pStyle w:val="Bezproreda"/>
              <w:jc w:val="center"/>
              <w:rPr>
                <w:bCs/>
                <w:sz w:val="18"/>
                <w:szCs w:val="18"/>
              </w:rPr>
            </w:pPr>
            <w:r>
              <w:rPr>
                <w:bCs/>
                <w:sz w:val="18"/>
                <w:szCs w:val="18"/>
              </w:rPr>
              <w:t>02.07.2021.</w:t>
            </w:r>
          </w:p>
        </w:tc>
        <w:tc>
          <w:tcPr>
            <w:tcW w:w="1202" w:type="dxa"/>
          </w:tcPr>
          <w:p w14:paraId="4499392F" w14:textId="77777777" w:rsidR="002F2AC7" w:rsidRPr="002F2AC7" w:rsidRDefault="002F2AC7" w:rsidP="002F2AC7">
            <w:pPr>
              <w:pStyle w:val="Bezproreda"/>
              <w:jc w:val="center"/>
              <w:rPr>
                <w:bCs/>
                <w:sz w:val="18"/>
                <w:szCs w:val="18"/>
              </w:rPr>
            </w:pPr>
          </w:p>
        </w:tc>
      </w:tr>
      <w:tr w:rsidR="002F2AC7" w14:paraId="59F83BA4" w14:textId="77777777" w:rsidTr="002F2AC7">
        <w:tc>
          <w:tcPr>
            <w:tcW w:w="749" w:type="dxa"/>
          </w:tcPr>
          <w:p w14:paraId="59C74FEE" w14:textId="2314FA2A" w:rsidR="002F2AC7" w:rsidRDefault="002F2AC7" w:rsidP="002F2AC7">
            <w:pPr>
              <w:pStyle w:val="Bezproreda"/>
              <w:jc w:val="center"/>
              <w:rPr>
                <w:bCs/>
              </w:rPr>
            </w:pPr>
            <w:r>
              <w:rPr>
                <w:bCs/>
              </w:rPr>
              <w:t>4</w:t>
            </w:r>
          </w:p>
        </w:tc>
        <w:tc>
          <w:tcPr>
            <w:tcW w:w="943" w:type="dxa"/>
          </w:tcPr>
          <w:p w14:paraId="4E524B28" w14:textId="6E74F647" w:rsidR="002F2AC7" w:rsidRPr="002F2AC7" w:rsidRDefault="002F2AC7" w:rsidP="002F2AC7">
            <w:pPr>
              <w:pStyle w:val="Bezproreda"/>
              <w:jc w:val="center"/>
              <w:rPr>
                <w:bCs/>
                <w:sz w:val="18"/>
                <w:szCs w:val="18"/>
              </w:rPr>
            </w:pPr>
            <w:r w:rsidRPr="002F2AC7">
              <w:rPr>
                <w:bCs/>
                <w:sz w:val="18"/>
                <w:szCs w:val="18"/>
              </w:rPr>
              <w:t>Škola</w:t>
            </w:r>
          </w:p>
        </w:tc>
        <w:tc>
          <w:tcPr>
            <w:tcW w:w="917" w:type="dxa"/>
          </w:tcPr>
          <w:p w14:paraId="461A1460" w14:textId="6F68872B" w:rsidR="002F2AC7" w:rsidRPr="002F2AC7" w:rsidRDefault="002F2AC7" w:rsidP="002F2AC7">
            <w:pPr>
              <w:pStyle w:val="Bezproreda"/>
              <w:jc w:val="center"/>
              <w:rPr>
                <w:bCs/>
                <w:sz w:val="18"/>
                <w:szCs w:val="18"/>
              </w:rPr>
            </w:pPr>
            <w:r w:rsidRPr="002F2AC7">
              <w:rPr>
                <w:bCs/>
                <w:sz w:val="18"/>
                <w:szCs w:val="18"/>
              </w:rPr>
              <w:t>Radnik 4</w:t>
            </w:r>
          </w:p>
        </w:tc>
        <w:tc>
          <w:tcPr>
            <w:tcW w:w="926" w:type="dxa"/>
          </w:tcPr>
          <w:p w14:paraId="718C6E5B" w14:textId="1298F9BF" w:rsidR="002F2AC7" w:rsidRPr="002F2AC7" w:rsidRDefault="002F2AC7" w:rsidP="002F2AC7">
            <w:pPr>
              <w:pStyle w:val="Bezproreda"/>
              <w:jc w:val="center"/>
              <w:rPr>
                <w:bCs/>
                <w:sz w:val="18"/>
                <w:szCs w:val="18"/>
              </w:rPr>
            </w:pPr>
            <w:r w:rsidRPr="002F2AC7">
              <w:rPr>
                <w:bCs/>
                <w:sz w:val="18"/>
                <w:szCs w:val="18"/>
              </w:rPr>
              <w:t>Razlika plaće</w:t>
            </w:r>
          </w:p>
        </w:tc>
        <w:tc>
          <w:tcPr>
            <w:tcW w:w="972" w:type="dxa"/>
          </w:tcPr>
          <w:p w14:paraId="33727DD7" w14:textId="62290524" w:rsidR="002F2AC7" w:rsidRPr="002F2AC7" w:rsidRDefault="00F80F12" w:rsidP="002F2AC7">
            <w:pPr>
              <w:pStyle w:val="Bezproreda"/>
              <w:jc w:val="center"/>
              <w:rPr>
                <w:bCs/>
                <w:sz w:val="18"/>
                <w:szCs w:val="18"/>
              </w:rPr>
            </w:pPr>
            <w:r>
              <w:rPr>
                <w:bCs/>
                <w:sz w:val="18"/>
                <w:szCs w:val="18"/>
              </w:rPr>
              <w:t>4.148,32</w:t>
            </w:r>
          </w:p>
        </w:tc>
        <w:tc>
          <w:tcPr>
            <w:tcW w:w="1272" w:type="dxa"/>
          </w:tcPr>
          <w:p w14:paraId="4A52606B" w14:textId="30701B28" w:rsidR="002F2AC7" w:rsidRPr="002F2AC7" w:rsidRDefault="00A77AC9" w:rsidP="002F2AC7">
            <w:pPr>
              <w:pStyle w:val="Bezproreda"/>
              <w:jc w:val="center"/>
              <w:rPr>
                <w:bCs/>
                <w:sz w:val="18"/>
                <w:szCs w:val="18"/>
              </w:rPr>
            </w:pPr>
            <w:r>
              <w:rPr>
                <w:bCs/>
                <w:sz w:val="18"/>
                <w:szCs w:val="18"/>
              </w:rPr>
              <w:t>8</w:t>
            </w:r>
            <w:r w:rsidR="000F5A85">
              <w:rPr>
                <w:bCs/>
                <w:sz w:val="18"/>
                <w:szCs w:val="18"/>
              </w:rPr>
              <w:t>.</w:t>
            </w:r>
            <w:r>
              <w:rPr>
                <w:bCs/>
                <w:sz w:val="18"/>
                <w:szCs w:val="18"/>
              </w:rPr>
              <w:t>335,82</w:t>
            </w:r>
          </w:p>
        </w:tc>
        <w:tc>
          <w:tcPr>
            <w:tcW w:w="1338" w:type="dxa"/>
          </w:tcPr>
          <w:p w14:paraId="5549D55E" w14:textId="5311932C" w:rsidR="002F2AC7" w:rsidRPr="002F2AC7" w:rsidRDefault="002F2AC7" w:rsidP="002F2AC7">
            <w:pPr>
              <w:pStyle w:val="Bezproreda"/>
              <w:jc w:val="center"/>
              <w:rPr>
                <w:bCs/>
                <w:sz w:val="18"/>
                <w:szCs w:val="18"/>
              </w:rPr>
            </w:pPr>
            <w:r w:rsidRPr="002F2AC7">
              <w:rPr>
                <w:bCs/>
                <w:sz w:val="18"/>
                <w:szCs w:val="18"/>
              </w:rPr>
              <w:t>Tijekom 2022.</w:t>
            </w:r>
          </w:p>
        </w:tc>
        <w:tc>
          <w:tcPr>
            <w:tcW w:w="969" w:type="dxa"/>
          </w:tcPr>
          <w:p w14:paraId="0C8B5197" w14:textId="5C9BDAE2" w:rsidR="002F2AC7" w:rsidRPr="002F2AC7" w:rsidRDefault="00F80F12" w:rsidP="002F2AC7">
            <w:pPr>
              <w:pStyle w:val="Bezproreda"/>
              <w:jc w:val="center"/>
              <w:rPr>
                <w:bCs/>
                <w:sz w:val="18"/>
                <w:szCs w:val="18"/>
              </w:rPr>
            </w:pPr>
            <w:r>
              <w:rPr>
                <w:bCs/>
                <w:sz w:val="18"/>
                <w:szCs w:val="18"/>
              </w:rPr>
              <w:t>09.07.2021.</w:t>
            </w:r>
          </w:p>
        </w:tc>
        <w:tc>
          <w:tcPr>
            <w:tcW w:w="1202" w:type="dxa"/>
          </w:tcPr>
          <w:p w14:paraId="57C5CA8C" w14:textId="77777777" w:rsidR="002F2AC7" w:rsidRPr="002F2AC7" w:rsidRDefault="002F2AC7" w:rsidP="002F2AC7">
            <w:pPr>
              <w:pStyle w:val="Bezproreda"/>
              <w:jc w:val="center"/>
              <w:rPr>
                <w:bCs/>
                <w:sz w:val="18"/>
                <w:szCs w:val="18"/>
              </w:rPr>
            </w:pPr>
          </w:p>
        </w:tc>
      </w:tr>
    </w:tbl>
    <w:p w14:paraId="0EB2D549" w14:textId="77777777" w:rsidR="00857CD1" w:rsidRDefault="00857CD1" w:rsidP="003A5EBF">
      <w:pPr>
        <w:pStyle w:val="Bezproreda"/>
      </w:pPr>
    </w:p>
    <w:p w14:paraId="74295F56" w14:textId="746FA895" w:rsidR="00DF11AC" w:rsidRDefault="002F2AC7" w:rsidP="003A5EBF">
      <w:pPr>
        <w:pStyle w:val="Bezproreda"/>
      </w:pPr>
      <w:r w:rsidRPr="00B568CE">
        <w:rPr>
          <w:u w:val="single"/>
        </w:rPr>
        <w:t>Bilješka broj</w:t>
      </w:r>
      <w:r w:rsidR="00DA361F" w:rsidRPr="00B568CE">
        <w:rPr>
          <w:u w:val="single"/>
        </w:rPr>
        <w:t xml:space="preserve"> 30</w:t>
      </w:r>
      <w:r w:rsidR="00DA361F">
        <w:t xml:space="preserve"> -</w:t>
      </w:r>
      <w:r>
        <w:t xml:space="preserve">  škola ima 4 sudska postupka u tijeku zbog isplate razlike plaće za 6%</w:t>
      </w:r>
      <w:r w:rsidR="00857CD1">
        <w:t xml:space="preserve"> te</w:t>
      </w:r>
      <w:r w:rsidR="00F61621">
        <w:t xml:space="preserve"> </w:t>
      </w:r>
      <w:r>
        <w:t>su u tablici prikazani procijenjeni troškovi sudskih sporova.</w:t>
      </w:r>
    </w:p>
    <w:p w14:paraId="723B63BF" w14:textId="77777777" w:rsidR="00F06302" w:rsidRDefault="00F06302" w:rsidP="003A5EBF">
      <w:pPr>
        <w:pStyle w:val="Bezproreda"/>
      </w:pPr>
    </w:p>
    <w:p w14:paraId="6B6E79D0" w14:textId="77777777" w:rsidR="00DF11AC" w:rsidRDefault="00DF11AC" w:rsidP="00DF11AC">
      <w:pPr>
        <w:pStyle w:val="Odlomakpopisa"/>
        <w:numPr>
          <w:ilvl w:val="0"/>
          <w:numId w:val="1"/>
        </w:numPr>
        <w:rPr>
          <w:b/>
        </w:rPr>
      </w:pPr>
      <w:r w:rsidRPr="00DF11AC">
        <w:rPr>
          <w:b/>
        </w:rPr>
        <w:t>Bilješke uz Izvještaj o prihodima i rashodima, primicima i izdacima</w:t>
      </w:r>
    </w:p>
    <w:p w14:paraId="38E34E5D" w14:textId="63B8ED10" w:rsidR="0099192A" w:rsidRDefault="00DA6F99" w:rsidP="003A5EBF">
      <w:pPr>
        <w:pStyle w:val="Bezproreda"/>
      </w:pPr>
      <w:r w:rsidRPr="00B568CE">
        <w:rPr>
          <w:u w:val="single"/>
        </w:rPr>
        <w:t xml:space="preserve">Bilješka broj </w:t>
      </w:r>
      <w:r w:rsidR="0085013F" w:rsidRPr="00B568CE">
        <w:rPr>
          <w:u w:val="single"/>
        </w:rPr>
        <w:t>3</w:t>
      </w:r>
      <w:r w:rsidR="00DA361F" w:rsidRPr="00B568CE">
        <w:rPr>
          <w:u w:val="single"/>
        </w:rPr>
        <w:t>1</w:t>
      </w:r>
      <w:r w:rsidR="00077062">
        <w:t xml:space="preserve"> – AOP 06</w:t>
      </w:r>
      <w:r w:rsidR="007C18C1">
        <w:t>4</w:t>
      </w:r>
      <w:r w:rsidR="00077062">
        <w:t xml:space="preserve"> Tekuće pomoći proračunskim korisnicima iz proračuna koji </w:t>
      </w:r>
      <w:r w:rsidR="006F038C">
        <w:t>im nije nadležan- (MZO za plaće;</w:t>
      </w:r>
      <w:r w:rsidR="00077062">
        <w:t xml:space="preserve"> KZŽ za plaće pomoćnika u nastavi, natjecanja</w:t>
      </w:r>
      <w:r w:rsidR="000C4545">
        <w:t>,</w:t>
      </w:r>
      <w:r w:rsidR="0099192A">
        <w:t xml:space="preserve"> radne bilježnice,</w:t>
      </w:r>
      <w:r w:rsidR="000C4545">
        <w:t xml:space="preserve"> „Zalogajček“</w:t>
      </w:r>
      <w:r w:rsidR="006F038C">
        <w:t>;</w:t>
      </w:r>
      <w:r w:rsidR="00077062">
        <w:t xml:space="preserve"> i sl.)- u prethodnom razdoblju ostvareno je </w:t>
      </w:r>
      <w:r w:rsidR="00B531CF">
        <w:t>9.206.677</w:t>
      </w:r>
      <w:r w:rsidR="00077062">
        <w:t xml:space="preserve"> kn</w:t>
      </w:r>
      <w:r w:rsidR="0090009D">
        <w:t>,</w:t>
      </w:r>
      <w:r w:rsidR="00077062">
        <w:t xml:space="preserve"> a u </w:t>
      </w:r>
      <w:r w:rsidR="009E5DCA">
        <w:t>izvještajnom ra</w:t>
      </w:r>
      <w:r>
        <w:t xml:space="preserve">zdoblju </w:t>
      </w:r>
      <w:r w:rsidR="00B531CF">
        <w:t>10.167.247</w:t>
      </w:r>
      <w:r>
        <w:t xml:space="preserve"> </w:t>
      </w:r>
      <w:r w:rsidR="009E5DCA">
        <w:t xml:space="preserve">kn. Razlog zbog čega je došlo do većih odstupanja u odnosu na prethodnu godinu je </w:t>
      </w:r>
      <w:r>
        <w:t>povećan</w:t>
      </w:r>
      <w:r w:rsidR="0085013F">
        <w:t>je</w:t>
      </w:r>
      <w:r>
        <w:t xml:space="preserve"> osnovice</w:t>
      </w:r>
      <w:r w:rsidR="007C18C1">
        <w:t xml:space="preserve"> za obračun plaće</w:t>
      </w:r>
      <w:r w:rsidR="00B531CF">
        <w:t xml:space="preserve">, uplata zaostataka iz prethodne godine od Krapinsko zagorske županije za „Zalogajček“. </w:t>
      </w:r>
    </w:p>
    <w:p w14:paraId="03422074" w14:textId="6A315F69" w:rsidR="007C18C1" w:rsidRDefault="007C18C1" w:rsidP="003A5EBF">
      <w:pPr>
        <w:pStyle w:val="Bezproreda"/>
      </w:pPr>
      <w:r w:rsidRPr="00B568CE">
        <w:rPr>
          <w:u w:val="single"/>
        </w:rPr>
        <w:t xml:space="preserve">Bilješka broj </w:t>
      </w:r>
      <w:r w:rsidR="0085013F" w:rsidRPr="00B568CE">
        <w:rPr>
          <w:u w:val="single"/>
        </w:rPr>
        <w:t>3</w:t>
      </w:r>
      <w:r w:rsidR="00DA361F" w:rsidRPr="00B568CE">
        <w:rPr>
          <w:u w:val="single"/>
        </w:rPr>
        <w:t>2</w:t>
      </w:r>
      <w:r w:rsidR="00B568CE">
        <w:t xml:space="preserve"> </w:t>
      </w:r>
      <w:r>
        <w:t>-</w:t>
      </w:r>
      <w:r w:rsidR="00B568CE">
        <w:t xml:space="preserve"> </w:t>
      </w:r>
      <w:r>
        <w:t>AOP 065 Kapitalne pomoći proračunskim korisnicima iz proračuna koji im nije na</w:t>
      </w:r>
      <w:r w:rsidR="00DA6F99">
        <w:t xml:space="preserve">dležan- u prethodnoj godini </w:t>
      </w:r>
      <w:r>
        <w:t xml:space="preserve"> ostvaren</w:t>
      </w:r>
      <w:r w:rsidR="00DA6F99">
        <w:t xml:space="preserve">o </w:t>
      </w:r>
      <w:r w:rsidR="00B531CF">
        <w:t>354.191</w:t>
      </w:r>
      <w:r w:rsidR="00DA6F99">
        <w:t xml:space="preserve"> kn</w:t>
      </w:r>
      <w:r>
        <w:t>, a u 20</w:t>
      </w:r>
      <w:r w:rsidR="0085013F">
        <w:t>2</w:t>
      </w:r>
      <w:r w:rsidR="00B531CF">
        <w:t>1</w:t>
      </w:r>
      <w:r>
        <w:t>.</w:t>
      </w:r>
      <w:r w:rsidR="00DA6F99">
        <w:t xml:space="preserve"> </w:t>
      </w:r>
      <w:r w:rsidR="00B531CF">
        <w:t>168.430</w:t>
      </w:r>
      <w:r w:rsidR="00DA6F99">
        <w:t xml:space="preserve"> kn</w:t>
      </w:r>
      <w:r>
        <w:t xml:space="preserve"> </w:t>
      </w:r>
      <w:r w:rsidR="00DA6F99">
        <w:t xml:space="preserve"> i to od MZO za naba</w:t>
      </w:r>
      <w:r w:rsidR="0099192A">
        <w:t xml:space="preserve">vu knjiga i stručne literature za školsku knjižnicu </w:t>
      </w:r>
      <w:r w:rsidR="00B531CF">
        <w:t>6.0</w:t>
      </w:r>
      <w:r w:rsidR="00ED7805">
        <w:t>00</w:t>
      </w:r>
      <w:r w:rsidR="00DA6F99">
        <w:t xml:space="preserve"> kn</w:t>
      </w:r>
      <w:r w:rsidR="00F84632">
        <w:t>,</w:t>
      </w:r>
      <w:r w:rsidR="0099192A">
        <w:t xml:space="preserve"> </w:t>
      </w:r>
      <w:r w:rsidR="00ED7805">
        <w:t xml:space="preserve">za nabavu računala 8.558 kn, </w:t>
      </w:r>
      <w:r w:rsidR="0099192A">
        <w:t xml:space="preserve">za nabavu udžbenika za učenike naše škole </w:t>
      </w:r>
      <w:r w:rsidR="00B531CF">
        <w:t>53.872</w:t>
      </w:r>
      <w:r w:rsidR="0099192A">
        <w:t xml:space="preserve"> kune</w:t>
      </w:r>
      <w:r w:rsidR="0085013F">
        <w:t xml:space="preserve">, te </w:t>
      </w:r>
      <w:r w:rsidR="00B531CF">
        <w:t xml:space="preserve">100.000 kn </w:t>
      </w:r>
      <w:r w:rsidR="0085013F">
        <w:t xml:space="preserve">od Ministarstva kulture za izmjenu </w:t>
      </w:r>
      <w:r w:rsidR="00ED7805">
        <w:lastRenderedPageBreak/>
        <w:t>unutarnje stolarije-</w:t>
      </w:r>
      <w:r w:rsidR="00B531CF">
        <w:t>vrata u prizemlju</w:t>
      </w:r>
      <w:r w:rsidR="0085013F">
        <w:t xml:space="preserve"> zgrad</w:t>
      </w:r>
      <w:r w:rsidR="00B531CF">
        <w:t>e</w:t>
      </w:r>
      <w:r w:rsidR="0085013F">
        <w:t xml:space="preserve"> škole u Krapini.</w:t>
      </w:r>
      <w:r w:rsidR="00B531CF">
        <w:t xml:space="preserve"> Iznos za nabavu udžbenika je manji u odnosu na prethodno razdoblje zbog toga što se koriste udžbenici nabavljeni prethodnih godina.</w:t>
      </w:r>
    </w:p>
    <w:p w14:paraId="2B7F0E4D" w14:textId="279C36B6" w:rsidR="009E5DCA" w:rsidRDefault="000B6E3D" w:rsidP="003A5EBF">
      <w:pPr>
        <w:pStyle w:val="Bezproreda"/>
      </w:pPr>
      <w:r w:rsidRPr="00B568CE">
        <w:rPr>
          <w:u w:val="single"/>
        </w:rPr>
        <w:t xml:space="preserve">Bilješka broj </w:t>
      </w:r>
      <w:r w:rsidR="007E0932" w:rsidRPr="00B568CE">
        <w:rPr>
          <w:u w:val="single"/>
        </w:rPr>
        <w:t>3</w:t>
      </w:r>
      <w:r w:rsidR="0085013F" w:rsidRPr="00B568CE">
        <w:rPr>
          <w:u w:val="single"/>
        </w:rPr>
        <w:t>3</w:t>
      </w:r>
      <w:r w:rsidR="009D08C4">
        <w:t xml:space="preserve"> – AOP 11</w:t>
      </w:r>
      <w:r w:rsidR="00B531CF">
        <w:t>2</w:t>
      </w:r>
      <w:r w:rsidR="009E5DCA">
        <w:t xml:space="preserve"> Ostali nespomenuti prihodi </w:t>
      </w:r>
      <w:r w:rsidR="00B531CF">
        <w:t>povećani su</w:t>
      </w:r>
      <w:r w:rsidR="009E5DCA">
        <w:t xml:space="preserve"> u ovom izvještajnom raz</w:t>
      </w:r>
      <w:r w:rsidR="00DA6F99">
        <w:t xml:space="preserve">doblju </w:t>
      </w:r>
      <w:r w:rsidR="0085013F">
        <w:t xml:space="preserve">i to zbog </w:t>
      </w:r>
      <w:r w:rsidR="00B531CF">
        <w:t>što nije bilo dugotrajnijeg prekida nastave</w:t>
      </w:r>
      <w:r w:rsidR="002C5A48">
        <w:t xml:space="preserve"> i rada od kuće pa je i prehrana učenika normalno organizirana u školi za što su izdavani računi. Ostvareni su i prihodi od osiguranja za refundaciju štete</w:t>
      </w:r>
      <w:r w:rsidR="000F5A85">
        <w:t xml:space="preserve"> nastalu zbog puknuća vodovodne cijevi u PŠ Donja Šemnica i za ošteć</w:t>
      </w:r>
      <w:r w:rsidR="000558C0">
        <w:t>enu informatičku opremu.</w:t>
      </w:r>
    </w:p>
    <w:p w14:paraId="445462F5" w14:textId="7A5B6848" w:rsidR="009E5DCA" w:rsidRDefault="009D08C4" w:rsidP="003A5EBF">
      <w:pPr>
        <w:pStyle w:val="Bezproreda"/>
      </w:pPr>
      <w:r w:rsidRPr="00B568CE">
        <w:rPr>
          <w:u w:val="single"/>
        </w:rPr>
        <w:t xml:space="preserve">Bilješka broj </w:t>
      </w:r>
      <w:r w:rsidR="007E0932" w:rsidRPr="00B568CE">
        <w:rPr>
          <w:u w:val="single"/>
        </w:rPr>
        <w:t>3</w:t>
      </w:r>
      <w:r w:rsidR="00D268D0" w:rsidRPr="00B568CE">
        <w:rPr>
          <w:u w:val="single"/>
        </w:rPr>
        <w:t>4</w:t>
      </w:r>
      <w:r w:rsidR="009E5DCA">
        <w:t xml:space="preserve"> – AOP 12</w:t>
      </w:r>
      <w:r w:rsidR="002C5A48">
        <w:t>2</w:t>
      </w:r>
      <w:r w:rsidR="009E5DCA">
        <w:t xml:space="preserve"> Prihodi od pruženih usluga – u prethodnom razdoblju ostvareno j</w:t>
      </w:r>
      <w:r w:rsidR="00D268D0">
        <w:t xml:space="preserve">e </w:t>
      </w:r>
      <w:r w:rsidR="002C5A48">
        <w:t>44.930</w:t>
      </w:r>
      <w:r w:rsidR="009E5DCA">
        <w:t xml:space="preserve"> kn</w:t>
      </w:r>
      <w:r w:rsidR="0090009D">
        <w:t>,</w:t>
      </w:r>
      <w:r w:rsidR="009E5DCA">
        <w:t xml:space="preserve"> a u tekućem izvještajnom razdoblju </w:t>
      </w:r>
      <w:r w:rsidR="002C5A48">
        <w:t>24.285</w:t>
      </w:r>
      <w:r w:rsidR="00A7401D">
        <w:t xml:space="preserve"> </w:t>
      </w:r>
      <w:r w:rsidR="009E5DCA">
        <w:t xml:space="preserve">kn što je </w:t>
      </w:r>
      <w:r w:rsidR="006F038C">
        <w:t xml:space="preserve">rezultat </w:t>
      </w:r>
      <w:r w:rsidR="00A7401D">
        <w:t xml:space="preserve"> manjeg iznajmljivanja</w:t>
      </w:r>
      <w:r w:rsidR="007F107F">
        <w:t xml:space="preserve"> </w:t>
      </w:r>
      <w:r w:rsidR="009E5DCA">
        <w:t>školske sportske dvorane  te učion</w:t>
      </w:r>
      <w:r w:rsidR="007F107F">
        <w:t>ica korisnicima</w:t>
      </w:r>
      <w:r w:rsidR="00D268D0">
        <w:t xml:space="preserve"> također zbog epidemije Covid19.</w:t>
      </w:r>
    </w:p>
    <w:p w14:paraId="746539AD" w14:textId="735015C1" w:rsidR="00E22188" w:rsidRDefault="00DA6F99" w:rsidP="003A5EBF">
      <w:pPr>
        <w:pStyle w:val="Bezproreda"/>
      </w:pPr>
      <w:r w:rsidRPr="00B568CE">
        <w:rPr>
          <w:u w:val="single"/>
        </w:rPr>
        <w:t>Bilješka broj 3</w:t>
      </w:r>
      <w:r w:rsidR="00DA361F" w:rsidRPr="00B568CE">
        <w:rPr>
          <w:u w:val="single"/>
        </w:rPr>
        <w:t>5</w:t>
      </w:r>
      <w:r w:rsidR="009E5DCA">
        <w:t xml:space="preserve"> – AOP </w:t>
      </w:r>
      <w:r w:rsidR="005C74BF">
        <w:t>12</w:t>
      </w:r>
      <w:r w:rsidR="002C5A48">
        <w:t>3</w:t>
      </w:r>
      <w:r w:rsidR="005C74BF">
        <w:t xml:space="preserve"> Donacije od pravnih i fizičkih osoba – u tekućem</w:t>
      </w:r>
      <w:r w:rsidR="009D08C4">
        <w:t xml:space="preserve"> izvještajnom razdoblju</w:t>
      </w:r>
      <w:r w:rsidR="00E04907">
        <w:t xml:space="preserve"> su </w:t>
      </w:r>
      <w:r w:rsidR="002C5A48">
        <w:t>smanje</w:t>
      </w:r>
      <w:r w:rsidR="00D268D0">
        <w:t>n</w:t>
      </w:r>
      <w:r w:rsidR="00E04907">
        <w:t xml:space="preserve">e, a odnose se na </w:t>
      </w:r>
      <w:r w:rsidR="002C5A48">
        <w:t>donaciju kompleta prve pomoći od GD Crvenog križa Krapina, drenažnih rešetki za postavljanje podloge za učionicu na otvorenome, knjiga i priručnika za školsku knjižnicu te novčanih donacija namijenjenih za nabavu računalne opreme i sportske opreme.</w:t>
      </w:r>
      <w:r w:rsidR="00D268D0">
        <w:t xml:space="preserve"> </w:t>
      </w:r>
    </w:p>
    <w:p w14:paraId="6A629888" w14:textId="1F425CAA" w:rsidR="00A7401D" w:rsidRDefault="00E22188" w:rsidP="003A5EBF">
      <w:pPr>
        <w:pStyle w:val="Bezproreda"/>
      </w:pPr>
      <w:r w:rsidRPr="00B568CE">
        <w:rPr>
          <w:u w:val="single"/>
        </w:rPr>
        <w:t>Bilješka broj 3</w:t>
      </w:r>
      <w:r w:rsidR="00DA361F" w:rsidRPr="00B568CE">
        <w:rPr>
          <w:u w:val="single"/>
        </w:rPr>
        <w:t>6</w:t>
      </w:r>
      <w:r w:rsidR="00B568CE">
        <w:t xml:space="preserve"> </w:t>
      </w:r>
      <w:r>
        <w:t>-</w:t>
      </w:r>
      <w:r w:rsidR="00B568CE">
        <w:t xml:space="preserve"> </w:t>
      </w:r>
      <w:r w:rsidR="00ED7805">
        <w:t>AOP 129</w:t>
      </w:r>
      <w:r>
        <w:t xml:space="preserve"> Prihodi iz nadležnog proračuna </w:t>
      </w:r>
      <w:r w:rsidR="002C5A48">
        <w:t xml:space="preserve"> značajno su povećani u odnosu na prethodno razdoblje</w:t>
      </w:r>
      <w:r w:rsidR="00A7401D">
        <w:t>,</w:t>
      </w:r>
      <w:r w:rsidR="00E04907">
        <w:t xml:space="preserve"> </w:t>
      </w:r>
      <w:r w:rsidR="00EF6256">
        <w:t xml:space="preserve">ostvareno je ukupno 1.689.288 kuna od čega iz decentraliziranih sredstava 1.032.602 kune za financiranje materijalnih rashoda poslovanja, 361.000 kuna za financiranje rashoda za nabavu nefinancijske imovine i dodatna ulaganja na građevinskim objektima. </w:t>
      </w:r>
      <w:r w:rsidR="00A7401D">
        <w:t>G</w:t>
      </w:r>
      <w:r w:rsidR="00E04907">
        <w:t>rad Krapina</w:t>
      </w:r>
      <w:r w:rsidR="00A7401D">
        <w:t xml:space="preserve"> je</w:t>
      </w:r>
      <w:r>
        <w:t xml:space="preserve"> doznačio</w:t>
      </w:r>
      <w:r w:rsidR="00EF6256">
        <w:t xml:space="preserve"> povrh decentraliziranih sredstava ukupno 295.686 kuna od čega 38.200 kuna za školsku kuhinju za učenike koji ostvaruju pravo na besplatnu prehranu, 81.169 kuna za nabavu radnih bilježnica, 20.801 kunu za školsku shemu, 1.602 kune za financiranje dijela plaće za pomoćnika u nastavi, 3.360 kuna za financiranje ugovora o djelu za e-tehničara, 99.653 kune za financiranje pojačavanja mehaničke stabilnosti i sanacije sportske dvorane i prilaznih staza školi zbog štete nastale od potresa, 40.000 kuna za tekuće i investicijsko održavanje građevinskih objekata, odnosno krečenje unutarnjih i vanjskih zidova sportske dvorane te 10.900 kuna za izmjenu unutarnje stolarije-vrata u matičnoj školi Krapina.</w:t>
      </w:r>
      <w:r>
        <w:t xml:space="preserve"> </w:t>
      </w:r>
    </w:p>
    <w:p w14:paraId="22ADD9F8" w14:textId="7291B343" w:rsidR="00E22188" w:rsidRDefault="000B6E3D" w:rsidP="003A5EBF">
      <w:pPr>
        <w:pStyle w:val="Bezproreda"/>
      </w:pPr>
      <w:r w:rsidRPr="00B568CE">
        <w:rPr>
          <w:u w:val="single"/>
        </w:rPr>
        <w:t xml:space="preserve">Bilješka broj </w:t>
      </w:r>
      <w:r w:rsidR="00E22188" w:rsidRPr="00B568CE">
        <w:rPr>
          <w:u w:val="single"/>
        </w:rPr>
        <w:t>3</w:t>
      </w:r>
      <w:r w:rsidR="00DA361F" w:rsidRPr="00B568CE">
        <w:rPr>
          <w:u w:val="single"/>
        </w:rPr>
        <w:t>7</w:t>
      </w:r>
      <w:r w:rsidR="009E63B8">
        <w:t xml:space="preserve"> – AOP 1</w:t>
      </w:r>
      <w:r w:rsidR="00ED7805">
        <w:t>47</w:t>
      </w:r>
      <w:r w:rsidR="009E63B8">
        <w:t xml:space="preserve"> </w:t>
      </w:r>
      <w:r w:rsidR="00037900">
        <w:t>Rashodi</w:t>
      </w:r>
      <w:r w:rsidR="009E63B8">
        <w:t xml:space="preserve"> za zaposlene – povećan</w:t>
      </w:r>
      <w:r w:rsidR="00037900">
        <w:t>i</w:t>
      </w:r>
      <w:r w:rsidR="009E63B8">
        <w:t xml:space="preserve"> u odnosu na prethodno razdoblje zbog  </w:t>
      </w:r>
      <w:r w:rsidR="00E22188">
        <w:t>povećanja osnovice za obračun plaće</w:t>
      </w:r>
      <w:r w:rsidR="00E83D1F">
        <w:t>, većeg iznosa za posebne uvjete rada za rad s djecom s teškoćama</w:t>
      </w:r>
      <w:r w:rsidR="005F6295">
        <w:t xml:space="preserve"> i za rad u kombiniranom razrednom odjelu</w:t>
      </w:r>
      <w:r w:rsidR="00E83D1F">
        <w:t>, isp</w:t>
      </w:r>
      <w:r w:rsidR="00CA5FF6">
        <w:t>l</w:t>
      </w:r>
      <w:r w:rsidR="00E83D1F">
        <w:t xml:space="preserve">ate </w:t>
      </w:r>
      <w:r w:rsidR="005F6295">
        <w:t>godišnje nagrade za uspješnost u radu</w:t>
      </w:r>
      <w:r w:rsidR="00CA5FF6">
        <w:t xml:space="preserve"> i sl.</w:t>
      </w:r>
    </w:p>
    <w:p w14:paraId="028FC41B" w14:textId="0199DD91" w:rsidR="005C3AE4" w:rsidRDefault="000B6E3D" w:rsidP="003A5EBF">
      <w:pPr>
        <w:pStyle w:val="Bezproreda"/>
      </w:pPr>
      <w:r w:rsidRPr="00B568CE">
        <w:rPr>
          <w:u w:val="single"/>
        </w:rPr>
        <w:t xml:space="preserve">Bilješka broj </w:t>
      </w:r>
      <w:r w:rsidR="00DA361F" w:rsidRPr="00B568CE">
        <w:rPr>
          <w:u w:val="single"/>
        </w:rPr>
        <w:t>38</w:t>
      </w:r>
      <w:r w:rsidR="009E63B8">
        <w:t xml:space="preserve"> – AOP </w:t>
      </w:r>
      <w:r w:rsidR="00ED7805">
        <w:t>158</w:t>
      </w:r>
      <w:r w:rsidR="00037900">
        <w:t xml:space="preserve"> Materijalni rashodi – </w:t>
      </w:r>
      <w:r w:rsidR="005F6295">
        <w:t>poveća</w:t>
      </w:r>
      <w:r w:rsidR="00C66BF3">
        <w:t>ni</w:t>
      </w:r>
      <w:r w:rsidR="00E22188">
        <w:t xml:space="preserve"> </w:t>
      </w:r>
      <w:r w:rsidR="00037900">
        <w:t>u odnosu na preth</w:t>
      </w:r>
      <w:r w:rsidR="005E5FB2">
        <w:t>odno izvještajno razdoblj</w:t>
      </w:r>
      <w:r w:rsidR="005F6295">
        <w:t>e</w:t>
      </w:r>
      <w:r w:rsidR="005E5FB2">
        <w:t xml:space="preserve">; </w:t>
      </w:r>
      <w:r w:rsidR="005C3AE4">
        <w:t xml:space="preserve"> </w:t>
      </w:r>
    </w:p>
    <w:p w14:paraId="6062FE72" w14:textId="05CCE895" w:rsidR="005C3AE4" w:rsidRDefault="00CF2F96" w:rsidP="005C3AE4">
      <w:pPr>
        <w:pStyle w:val="Bezproreda"/>
        <w:ind w:firstLine="708"/>
      </w:pPr>
      <w:r>
        <w:rPr>
          <w:i/>
        </w:rPr>
        <w:t>-</w:t>
      </w:r>
      <w:r w:rsidR="001559D7" w:rsidRPr="00EC7BC0">
        <w:rPr>
          <w:b/>
          <w:bCs/>
          <w:i/>
        </w:rPr>
        <w:t>naknade troškova zaposlenima</w:t>
      </w:r>
      <w:r w:rsidR="001778F8">
        <w:rPr>
          <w:i/>
        </w:rPr>
        <w:t>-</w:t>
      </w:r>
      <w:r w:rsidR="001559D7">
        <w:t xml:space="preserve"> </w:t>
      </w:r>
      <w:r w:rsidR="009219E2">
        <w:t>AOP 1</w:t>
      </w:r>
      <w:r w:rsidR="005F6295">
        <w:t>59</w:t>
      </w:r>
      <w:r w:rsidR="009219E2">
        <w:t xml:space="preserve"> </w:t>
      </w:r>
      <w:r w:rsidR="001559D7">
        <w:t>(</w:t>
      </w:r>
      <w:r w:rsidR="00D74F0C">
        <w:t xml:space="preserve">službena putovanja, </w:t>
      </w:r>
      <w:r w:rsidR="001559D7">
        <w:t>naknade za prijevoz</w:t>
      </w:r>
      <w:r w:rsidR="00CA5FF6">
        <w:t xml:space="preserve"> su </w:t>
      </w:r>
      <w:r w:rsidR="005F6295">
        <w:t>povećani z</w:t>
      </w:r>
      <w:r w:rsidR="00CA5FF6">
        <w:t xml:space="preserve">bog toga što </w:t>
      </w:r>
      <w:r w:rsidR="005F6295">
        <w:t>se nastava održavala redovno, odnosno nije bilo rada od kuće pa je i prijevoz radnicima redovno isplaćivan, te je bilo više odlazaka na stručne skupove nego prethodne godine,</w:t>
      </w:r>
      <w:r w:rsidR="00424578">
        <w:t xml:space="preserve"> </w:t>
      </w:r>
    </w:p>
    <w:p w14:paraId="50C855EC" w14:textId="22441F52" w:rsidR="005C3AE4" w:rsidRDefault="00CF2F96" w:rsidP="005C3AE4">
      <w:pPr>
        <w:pStyle w:val="Bezproreda"/>
        <w:ind w:firstLine="708"/>
      </w:pPr>
      <w:r>
        <w:rPr>
          <w:i/>
        </w:rPr>
        <w:t>-</w:t>
      </w:r>
      <w:r w:rsidR="001559D7" w:rsidRPr="00EC7BC0">
        <w:rPr>
          <w:b/>
          <w:bCs/>
          <w:i/>
        </w:rPr>
        <w:t>rashodi za materijal i energiju</w:t>
      </w:r>
      <w:r w:rsidR="001778F8">
        <w:t>-</w:t>
      </w:r>
      <w:r w:rsidR="009219E2">
        <w:t xml:space="preserve"> AOP 16</w:t>
      </w:r>
      <w:r w:rsidR="005F6295">
        <w:t>4</w:t>
      </w:r>
      <w:r w:rsidR="00D74F0C">
        <w:t xml:space="preserve"> </w:t>
      </w:r>
      <w:r w:rsidR="005F6295">
        <w:t>poveća</w:t>
      </w:r>
      <w:r w:rsidR="00D74F0C">
        <w:t>ni</w:t>
      </w:r>
      <w:r w:rsidR="00CA5FF6">
        <w:t xml:space="preserve"> su</w:t>
      </w:r>
      <w:r w:rsidR="001559D7">
        <w:t xml:space="preserve"> u odnosu na prethodno izvještajno razdoblje</w:t>
      </w:r>
      <w:r w:rsidR="00CE4DD4">
        <w:t xml:space="preserve"> - </w:t>
      </w:r>
      <w:r w:rsidR="005F6295">
        <w:t>bilježimo povećanje na računu za nabavu uredskog materijala i ostalih materijalnih rashoda, odnosno nabave dezinficijensa, rukavica, higijenskih maski i materijala za čišćenje i održavanje, na računu za nabavu materijala i sirovina, odnosno namirnica za školsku kuhinju</w:t>
      </w:r>
      <w:r w:rsidR="00CE4DD4">
        <w:t>,</w:t>
      </w:r>
      <w:r w:rsidR="005F6295">
        <w:t xml:space="preserve"> na računu energije zbog toga što tijekom 2021. god</w:t>
      </w:r>
      <w:r w:rsidR="00C142F2">
        <w:t xml:space="preserve">. </w:t>
      </w:r>
      <w:r w:rsidR="00CE4DD4">
        <w:t>n</w:t>
      </w:r>
      <w:r w:rsidR="00C142F2">
        <w:t xml:space="preserve">ije bilo uvedenog dugotrajnog rada od kuće kao što je to bilo tijekom 2020. pa je stoga i potrošnja na navedenim računima veća. </w:t>
      </w:r>
      <w:r w:rsidR="000558C0">
        <w:t>Troškovi m</w:t>
      </w:r>
      <w:r w:rsidR="00CE4DD4">
        <w:t>aterijal</w:t>
      </w:r>
      <w:r w:rsidR="000558C0">
        <w:t>a</w:t>
      </w:r>
      <w:r w:rsidR="00CE4DD4">
        <w:t xml:space="preserve"> i dijelov</w:t>
      </w:r>
      <w:r w:rsidR="000558C0">
        <w:t>a</w:t>
      </w:r>
      <w:r w:rsidR="00CE4DD4">
        <w:t xml:space="preserve"> za tekuće i investicijsko održavanje</w:t>
      </w:r>
      <w:r w:rsidR="000558C0">
        <w:t xml:space="preserve"> su</w:t>
      </w:r>
      <w:r w:rsidR="00CE4DD4">
        <w:t xml:space="preserve"> povećan</w:t>
      </w:r>
      <w:r w:rsidR="000558C0">
        <w:t>i</w:t>
      </w:r>
      <w:r w:rsidR="00CE4DD4">
        <w:t xml:space="preserve"> zbog nabave novih bravica na učeničkim garderobnim ormarima te nabave gornjih ploča za školske klupe te naslona i sjedalica za popravke potrganih učeničkih klupa i stolaca. Troškovi radne i zaštitne odjeće i obuće su povećani zbog nabave nove radne odjeće-kuta i natikača za spremačice, kuharice i domara. Troškovi nabave sitnog inventara značajno su smanjeni u odnosu na prošlu godinu zbog toga što je tijekom prethodnih godina nabavljen značajan dio raznih nastavnih sredstava i pomagala sredstvima dobivenim od MZO u sklopu Škole za život pa tijekom 2021. nije bilo toliko potrebe za nabavljanjem novog inventara. </w:t>
      </w:r>
    </w:p>
    <w:p w14:paraId="30952EE7" w14:textId="47B68DF1" w:rsidR="005C3AE4" w:rsidRDefault="00DF1733" w:rsidP="005C3AE4">
      <w:pPr>
        <w:pStyle w:val="Bezproreda"/>
        <w:ind w:firstLine="708"/>
      </w:pPr>
      <w:r>
        <w:t xml:space="preserve"> </w:t>
      </w:r>
      <w:r w:rsidR="00CF2F96">
        <w:t>-</w:t>
      </w:r>
      <w:r w:rsidR="005E5FB2" w:rsidRPr="00EC7BC0">
        <w:rPr>
          <w:b/>
          <w:bCs/>
          <w:i/>
        </w:rPr>
        <w:t>rashodi za usluge</w:t>
      </w:r>
      <w:r w:rsidR="005E5FB2">
        <w:rPr>
          <w:i/>
        </w:rPr>
        <w:t xml:space="preserve"> – </w:t>
      </w:r>
      <w:r w:rsidR="009C7A77">
        <w:t>AOP 172</w:t>
      </w:r>
      <w:r w:rsidR="00C66BF3">
        <w:t xml:space="preserve"> </w:t>
      </w:r>
      <w:r w:rsidR="005E5FB2">
        <w:t xml:space="preserve">u odnosu na prethodno razdoblje </w:t>
      </w:r>
      <w:r w:rsidR="003A2EC6">
        <w:t>povećani su i to najviše na sljedećim stavkama: usluge telefona, pošte i prijevoza učenika</w:t>
      </w:r>
      <w:r w:rsidR="000558C0">
        <w:t>- prij</w:t>
      </w:r>
      <w:bookmarkStart w:id="0" w:name="_GoBack"/>
      <w:bookmarkEnd w:id="0"/>
      <w:r w:rsidR="000558C0">
        <w:t>evoz učenika je povećan</w:t>
      </w:r>
      <w:r w:rsidR="003A2EC6">
        <w:t xml:space="preserve"> jer nije bilo nastave na daljinu već su učenici redovito dolazili na nastavu u školu, ali i zbog sanacije nadvožnjaka u Lepajcima školski autobus je vozio okolnim putem što je također povećalo cijenu prijevoza, zdravstvene i veterinarske usluge su povećane zbog uvedenog obveznog </w:t>
      </w:r>
      <w:r w:rsidR="008F2FB0">
        <w:t>C</w:t>
      </w:r>
      <w:r w:rsidR="000558C0">
        <w:t xml:space="preserve">ovid </w:t>
      </w:r>
      <w:r w:rsidR="003A2EC6">
        <w:t xml:space="preserve">testiranja </w:t>
      </w:r>
      <w:r w:rsidR="003A2EC6">
        <w:lastRenderedPageBreak/>
        <w:t>radnika koji nisu cijepljeni, intelektualne i osobne usluge su povećane zbog plaćanja ugovora o djelu za e-tehničara, zakupnine za opremu su povećane jer se fotokopirni stroj koji je u zakupu koristio kroz cijelo vrijeme nastavne godine. Rashodi za usluge tekućeg i investicijskog održavanja neznatno su</w:t>
      </w:r>
      <w:r w:rsidR="00D90940">
        <w:t xml:space="preserve"> smanjeni </w:t>
      </w:r>
      <w:r w:rsidR="003A2EC6">
        <w:t>u odnosu na prošlu godinu,</w:t>
      </w:r>
      <w:r w:rsidR="00D90940">
        <w:t xml:space="preserve"> </w:t>
      </w:r>
      <w:r w:rsidR="003A2EC6">
        <w:t>unutar nji</w:t>
      </w:r>
      <w:r w:rsidR="00D90940">
        <w:t>h</w:t>
      </w:r>
      <w:r w:rsidR="003A2EC6">
        <w:t xml:space="preserve"> najviše je utrošeno na tekuće i investicijsko održavanje građevinski</w:t>
      </w:r>
      <w:r w:rsidR="00D90940">
        <w:t>h</w:t>
      </w:r>
      <w:r w:rsidR="003A2EC6">
        <w:t xml:space="preserve"> objekata i to rušenje dimnjaka i popravak krova te za sanaciju zidova na južnoj strani zgrade </w:t>
      </w:r>
      <w:r w:rsidR="00D90940">
        <w:t xml:space="preserve"> matične škole </w:t>
      </w:r>
      <w:r w:rsidR="003A2EC6">
        <w:t xml:space="preserve">zbog štete nastale od potresa, pokrečeni su prostori </w:t>
      </w:r>
      <w:r w:rsidR="00D90940">
        <w:t>PŠ  Lepajci i PŠ Donja Šemnica te sportska dvorana u matičnoj školi u Krapini. U PŠ Donja Šemnica u jednoj učionici postavljen je laminat, a i sanirana je šteta nastala uslijed puknuća vodovodne cijevi.</w:t>
      </w:r>
      <w:r w:rsidR="00545197">
        <w:t xml:space="preserve"> </w:t>
      </w:r>
      <w:r w:rsidR="00FD2FA2">
        <w:t>O</w:t>
      </w:r>
      <w:r w:rsidR="005E5FB2">
        <w:t xml:space="preserve">stali rashodi </w:t>
      </w:r>
      <w:r w:rsidR="00D90940">
        <w:t>tekućeg i investicijskog održavanja odnose se na održavanje kotlovnica i postrojenja za centralno grijanje, na održavanje informatičke opreme i drugih uređaja i opreme u školi.</w:t>
      </w:r>
      <w:r w:rsidR="00EC58BE">
        <w:t xml:space="preserve"> Usluge promidžbe i informiranja odnose se na nabavu zaštitnih maski s otisnutim nazivom škole koje su podijeljene povodom obilježavanja 110. godišnjice škole. Komunalne usluge su smanjene i odnose se na redovne mjesečne troškove dok su prethodne godine tu bili uključeni troškovi čišćenja tavanskog prostora. Ostali rashodi </w:t>
      </w:r>
      <w:r w:rsidR="005E5FB2">
        <w:t>unutar rashoda za usluge</w:t>
      </w:r>
      <w:r w:rsidR="00425241">
        <w:t xml:space="preserve"> smanjeni</w:t>
      </w:r>
      <w:r w:rsidR="00EC58BE">
        <w:t xml:space="preserve"> su</w:t>
      </w:r>
      <w:r w:rsidR="00425241">
        <w:t xml:space="preserve"> ili</w:t>
      </w:r>
      <w:r w:rsidR="005E5FB2">
        <w:t xml:space="preserve"> ostvareni s neznatnim odstupanjima; </w:t>
      </w:r>
    </w:p>
    <w:p w14:paraId="66352A88" w14:textId="7A138655" w:rsidR="005C3AE4" w:rsidRDefault="00CF2F96" w:rsidP="005C3AE4">
      <w:pPr>
        <w:pStyle w:val="Bezproreda"/>
        <w:ind w:firstLine="708"/>
      </w:pPr>
      <w:r>
        <w:rPr>
          <w:i/>
        </w:rPr>
        <w:t>-</w:t>
      </w:r>
      <w:r w:rsidR="00424578" w:rsidRPr="00EC7BC0">
        <w:rPr>
          <w:b/>
          <w:bCs/>
          <w:i/>
        </w:rPr>
        <w:t>naknade troškova osobama izvan radnog odnosa</w:t>
      </w:r>
      <w:r w:rsidR="00424578" w:rsidRPr="001778F8">
        <w:rPr>
          <w:i/>
        </w:rPr>
        <w:t xml:space="preserve"> </w:t>
      </w:r>
      <w:r w:rsidR="001778F8">
        <w:t>-</w:t>
      </w:r>
      <w:r w:rsidR="00424578">
        <w:t>AOP 18</w:t>
      </w:r>
      <w:r w:rsidR="00EC58BE">
        <w:t>2</w:t>
      </w:r>
      <w:r w:rsidR="00424578">
        <w:t xml:space="preserve">  </w:t>
      </w:r>
      <w:r w:rsidR="00EC58BE">
        <w:t>u tekućoj godini rashodi nisu ostvareni</w:t>
      </w:r>
      <w:r w:rsidR="0086017D">
        <w:t>-nema stručnog osposobljavanja</w:t>
      </w:r>
      <w:r w:rsidR="00424578">
        <w:t xml:space="preserve">; </w:t>
      </w:r>
    </w:p>
    <w:p w14:paraId="20ADA2B6" w14:textId="4321801C" w:rsidR="009E63B8" w:rsidRDefault="00CF2F96" w:rsidP="005C3AE4">
      <w:pPr>
        <w:pStyle w:val="Bezproreda"/>
        <w:ind w:firstLine="708"/>
      </w:pPr>
      <w:r>
        <w:rPr>
          <w:i/>
        </w:rPr>
        <w:t>-</w:t>
      </w:r>
      <w:r w:rsidR="00424578" w:rsidRPr="00EC7BC0">
        <w:rPr>
          <w:b/>
          <w:bCs/>
          <w:i/>
        </w:rPr>
        <w:t>ostali nespomenuti rashodi poslovanja</w:t>
      </w:r>
      <w:r w:rsidR="001778F8">
        <w:t>-</w:t>
      </w:r>
      <w:r w:rsidR="000844DD">
        <w:t xml:space="preserve"> AOP 18</w:t>
      </w:r>
      <w:r w:rsidR="00EC58BE">
        <w:t>3</w:t>
      </w:r>
      <w:r w:rsidR="005E5FB2">
        <w:t xml:space="preserve"> </w:t>
      </w:r>
      <w:r w:rsidR="00EC58BE">
        <w:t>poveća</w:t>
      </w:r>
      <w:r w:rsidR="00545197">
        <w:t>ni</w:t>
      </w:r>
      <w:r w:rsidR="005E5FB2">
        <w:t xml:space="preserve"> </w:t>
      </w:r>
      <w:r w:rsidR="00EC58BE">
        <w:t xml:space="preserve">su </w:t>
      </w:r>
      <w:r w:rsidR="005E5FB2">
        <w:t xml:space="preserve">u odnosu na prethodno </w:t>
      </w:r>
      <w:r w:rsidR="00425241">
        <w:t xml:space="preserve">izvještajno razdoblje i to zbog </w:t>
      </w:r>
      <w:r w:rsidR="00EC58BE">
        <w:t>povećanja troškova za premije osiguranja, troškova sudskih postupaka zbog tužbi radnika za isplatu razlike plaće od 6 %, ostali nespomenuti rashodi poslovanja zbog nabave sadnica i ljekovitog bilja za školski vrt dok su reprezentacija te pristojbe i naknade smanjeni.</w:t>
      </w:r>
      <w:r w:rsidR="00EC7BC0">
        <w:t xml:space="preserve"> </w:t>
      </w:r>
    </w:p>
    <w:p w14:paraId="4047EAE5" w14:textId="121F1596" w:rsidR="00DA61BE" w:rsidRDefault="00FB5181" w:rsidP="008E7FA0">
      <w:pPr>
        <w:pStyle w:val="Bezproreda"/>
      </w:pPr>
      <w:r w:rsidRPr="00B568CE">
        <w:rPr>
          <w:u w:val="single"/>
        </w:rPr>
        <w:t xml:space="preserve">Bilješka broj </w:t>
      </w:r>
      <w:r w:rsidR="00DA361F" w:rsidRPr="00B568CE">
        <w:rPr>
          <w:u w:val="single"/>
        </w:rPr>
        <w:t>39</w:t>
      </w:r>
      <w:r w:rsidR="003F3251">
        <w:t xml:space="preserve"> –</w:t>
      </w:r>
      <w:r w:rsidR="008E7FA0">
        <w:t xml:space="preserve"> AOP 19</w:t>
      </w:r>
      <w:r w:rsidR="00020749">
        <w:t>1</w:t>
      </w:r>
      <w:r w:rsidR="00E44E73">
        <w:t>-</w:t>
      </w:r>
      <w:r w:rsidR="003F3251">
        <w:t xml:space="preserve"> Financijski rashodi </w:t>
      </w:r>
      <w:r w:rsidR="00425241">
        <w:t xml:space="preserve">- bankarske usluge </w:t>
      </w:r>
      <w:r w:rsidR="00545197">
        <w:t xml:space="preserve">i zatezne kamate </w:t>
      </w:r>
      <w:r w:rsidR="00020749">
        <w:t xml:space="preserve">znatno su povećane </w:t>
      </w:r>
      <w:r w:rsidR="00DA61BE">
        <w:t>u odnosu na prethodno izvješt</w:t>
      </w:r>
      <w:r w:rsidR="00425241">
        <w:t>ajno razdoblje</w:t>
      </w:r>
      <w:r w:rsidR="00020749">
        <w:t xml:space="preserve"> i to zbog povećanja naknada od strane poslovne banke te zbog obračuna zateznih kamata za poreze, doprinose i na troškove sudskih postupaka zbog neisplate uvećanja plaće za 6%.</w:t>
      </w:r>
      <w:r w:rsidR="00AC06EF">
        <w:t xml:space="preserve"> </w:t>
      </w:r>
    </w:p>
    <w:p w14:paraId="220B37AC" w14:textId="6AF19E0E" w:rsidR="003333EC" w:rsidRDefault="007E0932" w:rsidP="008E7FA0">
      <w:pPr>
        <w:pStyle w:val="Bezproreda"/>
      </w:pPr>
      <w:r w:rsidRPr="00B568CE">
        <w:rPr>
          <w:u w:val="single"/>
        </w:rPr>
        <w:t xml:space="preserve">Bilješka broj </w:t>
      </w:r>
      <w:r w:rsidR="00545197" w:rsidRPr="00B568CE">
        <w:rPr>
          <w:u w:val="single"/>
        </w:rPr>
        <w:t>4</w:t>
      </w:r>
      <w:r w:rsidR="00DA361F" w:rsidRPr="00B568CE">
        <w:rPr>
          <w:u w:val="single"/>
        </w:rPr>
        <w:t>0</w:t>
      </w:r>
      <w:r w:rsidR="003333EC">
        <w:t xml:space="preserve"> – AOP 2</w:t>
      </w:r>
      <w:r w:rsidR="0086017D">
        <w:t>56</w:t>
      </w:r>
      <w:r w:rsidR="003333EC">
        <w:t xml:space="preserve"> Naknade građanima i kućanstvima u naravi</w:t>
      </w:r>
      <w:r w:rsidR="00545197">
        <w:t xml:space="preserve"> </w:t>
      </w:r>
      <w:r w:rsidR="00020749">
        <w:t>smanje</w:t>
      </w:r>
      <w:r w:rsidR="00545197">
        <w:t>ne su u odnosu na</w:t>
      </w:r>
      <w:r w:rsidR="003333EC">
        <w:t xml:space="preserve"> prethodno razdoblj</w:t>
      </w:r>
      <w:r w:rsidR="00545197">
        <w:t>e,</w:t>
      </w:r>
      <w:r w:rsidR="003333EC">
        <w:t xml:space="preserve"> a odnose se na rashode za nabavu radnih bilježnica za učenike naše škole koje su financirali Grad Krapina i Krapinsko zagorska županija</w:t>
      </w:r>
      <w:r w:rsidR="0086017D">
        <w:t>, svaki 50%, a ukupan iznos je 162.339 kn,</w:t>
      </w:r>
      <w:r w:rsidR="00BD08CF">
        <w:t xml:space="preserve"> te nabavu radnih udžbenika</w:t>
      </w:r>
      <w:r w:rsidR="0086017D">
        <w:t xml:space="preserve"> u iznosu 158.165 kn</w:t>
      </w:r>
      <w:r w:rsidR="00BD08CF">
        <w:t xml:space="preserve"> koje je financirano iz Državnog proračuna</w:t>
      </w:r>
      <w:r w:rsidR="003333EC">
        <w:t>.</w:t>
      </w:r>
    </w:p>
    <w:p w14:paraId="23638B37" w14:textId="54BAFF16" w:rsidR="00AC06EF" w:rsidRDefault="00AC06EF" w:rsidP="008E7FA0">
      <w:pPr>
        <w:pStyle w:val="Bezproreda"/>
      </w:pPr>
      <w:r w:rsidRPr="00B568CE">
        <w:rPr>
          <w:u w:val="single"/>
        </w:rPr>
        <w:t xml:space="preserve">Bilješka broj </w:t>
      </w:r>
      <w:r w:rsidR="007E0932" w:rsidRPr="00B568CE">
        <w:rPr>
          <w:u w:val="single"/>
        </w:rPr>
        <w:t>4</w:t>
      </w:r>
      <w:r w:rsidR="00DA361F" w:rsidRPr="00B568CE">
        <w:rPr>
          <w:u w:val="single"/>
        </w:rPr>
        <w:t>1</w:t>
      </w:r>
      <w:r>
        <w:t xml:space="preserve"> – AOP 29</w:t>
      </w:r>
      <w:r w:rsidR="00020749">
        <w:t>2</w:t>
      </w:r>
      <w:r>
        <w:t xml:space="preserve"> - Prihodi od pr</w:t>
      </w:r>
      <w:r w:rsidR="003333EC">
        <w:t xml:space="preserve">odaje nefinancijske imovine </w:t>
      </w:r>
      <w:r w:rsidR="00020749">
        <w:t>već</w:t>
      </w:r>
      <w:r w:rsidR="003333EC">
        <w:t>i</w:t>
      </w:r>
      <w:r>
        <w:t xml:space="preserve"> su u odnosu na prethodno razdoblje </w:t>
      </w:r>
      <w:r w:rsidR="00557F34">
        <w:t xml:space="preserve">zbog otplate više rata odjedanput </w:t>
      </w:r>
      <w:r>
        <w:t>i odnose se na prihode škole (35%) od prodanih stanova.</w:t>
      </w:r>
    </w:p>
    <w:p w14:paraId="3CE08CA1" w14:textId="329A35B6" w:rsidR="00AC06EF" w:rsidRDefault="00AC06EF" w:rsidP="008E7FA0">
      <w:pPr>
        <w:pStyle w:val="Bezproreda"/>
      </w:pPr>
      <w:r w:rsidRPr="00B568CE">
        <w:rPr>
          <w:u w:val="single"/>
        </w:rPr>
        <w:t xml:space="preserve">Bilješka broj </w:t>
      </w:r>
      <w:r w:rsidR="007E0932" w:rsidRPr="00B568CE">
        <w:rPr>
          <w:u w:val="single"/>
        </w:rPr>
        <w:t>4</w:t>
      </w:r>
      <w:r w:rsidR="00DA361F" w:rsidRPr="00B568CE">
        <w:rPr>
          <w:u w:val="single"/>
        </w:rPr>
        <w:t>2</w:t>
      </w:r>
      <w:r>
        <w:t xml:space="preserve"> – AOP 36</w:t>
      </w:r>
      <w:r w:rsidR="00020749">
        <w:t>4</w:t>
      </w:r>
      <w:r>
        <w:t xml:space="preserve"> Uredska oprema i namještaj – u prethodnom izvještajnom razdoblju</w:t>
      </w:r>
      <w:r w:rsidR="003333EC">
        <w:t xml:space="preserve"> iznose 1</w:t>
      </w:r>
      <w:r w:rsidR="00020749">
        <w:t>13.056</w:t>
      </w:r>
      <w:r w:rsidR="003333EC">
        <w:t xml:space="preserve"> kn</w:t>
      </w:r>
      <w:r>
        <w:t xml:space="preserve">, u tekućem izvještajnom razdoblju ostvareno u iznosu </w:t>
      </w:r>
      <w:r w:rsidR="00020749">
        <w:t>66.812</w:t>
      </w:r>
      <w:r>
        <w:t xml:space="preserve"> kn i </w:t>
      </w:r>
      <w:r w:rsidR="00BD08CF">
        <w:t>odnose se na nabavu</w:t>
      </w:r>
      <w:r w:rsidR="00020749">
        <w:t xml:space="preserve"> stolnih i</w:t>
      </w:r>
      <w:r w:rsidR="00BD08CF">
        <w:t xml:space="preserve"> prijenosnih računala </w:t>
      </w:r>
      <w:r w:rsidR="00020749">
        <w:t>te</w:t>
      </w:r>
      <w:r w:rsidR="00BD08CF">
        <w:t xml:space="preserve"> na kupnju namještaja za opremanje učionica.</w:t>
      </w:r>
    </w:p>
    <w:p w14:paraId="749E6BC3" w14:textId="27501A3B" w:rsidR="00020749" w:rsidRDefault="00020749" w:rsidP="008E7FA0">
      <w:pPr>
        <w:pStyle w:val="Bezproreda"/>
      </w:pPr>
      <w:r w:rsidRPr="00B568CE">
        <w:rPr>
          <w:u w:val="single"/>
        </w:rPr>
        <w:t xml:space="preserve">Bilješka broj </w:t>
      </w:r>
      <w:r w:rsidR="00DA361F" w:rsidRPr="00B568CE">
        <w:rPr>
          <w:u w:val="single"/>
        </w:rPr>
        <w:t>43</w:t>
      </w:r>
      <w:r>
        <w:t xml:space="preserve"> - AOP 369 Sportska i glazbena oprema – u prethodnom razdoblju nije ostvaren</w:t>
      </w:r>
      <w:r w:rsidR="000558C0">
        <w:t>o</w:t>
      </w:r>
      <w:r>
        <w:t>, u tekućem iznosi 7.232 kn i odnosi se na nabavu golova za vanjsko igralište PŠ Donja Šemnica.</w:t>
      </w:r>
    </w:p>
    <w:p w14:paraId="0D7FD98D" w14:textId="0EC5A397" w:rsidR="00E44E73" w:rsidRDefault="000B6E3D" w:rsidP="003A5EBF">
      <w:pPr>
        <w:pStyle w:val="Bezproreda"/>
      </w:pPr>
      <w:r w:rsidRPr="00B568CE">
        <w:rPr>
          <w:u w:val="single"/>
        </w:rPr>
        <w:t>B</w:t>
      </w:r>
      <w:r w:rsidR="008E7FA0" w:rsidRPr="00B568CE">
        <w:rPr>
          <w:u w:val="single"/>
        </w:rPr>
        <w:t xml:space="preserve">ilješka broj </w:t>
      </w:r>
      <w:r w:rsidR="007E0932" w:rsidRPr="00B568CE">
        <w:rPr>
          <w:u w:val="single"/>
        </w:rPr>
        <w:t>4</w:t>
      </w:r>
      <w:r w:rsidR="00DA361F" w:rsidRPr="00B568CE">
        <w:rPr>
          <w:u w:val="single"/>
        </w:rPr>
        <w:t>4</w:t>
      </w:r>
      <w:r w:rsidR="00E44E73">
        <w:t xml:space="preserve"> – AOP 3</w:t>
      </w:r>
      <w:r w:rsidR="00020749">
        <w:t>70</w:t>
      </w:r>
      <w:r w:rsidR="00E44E73">
        <w:t xml:space="preserve"> - Uređaji, strojevi i oprema za ostale namjene – u prethodnom izvještajnom razdoblju ostvareno </w:t>
      </w:r>
      <w:r w:rsidR="000C2516">
        <w:t>1</w:t>
      </w:r>
      <w:r w:rsidR="00C42136">
        <w:t>6.587</w:t>
      </w:r>
      <w:r w:rsidR="00E44E73">
        <w:t xml:space="preserve"> kn, a u tekućem </w:t>
      </w:r>
      <w:r w:rsidR="00C42136">
        <w:t>2</w:t>
      </w:r>
      <w:r w:rsidR="00A22E34">
        <w:t>1</w:t>
      </w:r>
      <w:r w:rsidR="00C42136">
        <w:t>.</w:t>
      </w:r>
      <w:r w:rsidR="000C2516">
        <w:t>6</w:t>
      </w:r>
      <w:r w:rsidR="00C42136">
        <w:t>93</w:t>
      </w:r>
      <w:r w:rsidR="00E44E73">
        <w:t xml:space="preserve"> kn</w:t>
      </w:r>
      <w:r w:rsidR="008E7FA0">
        <w:t>; nabavljen</w:t>
      </w:r>
      <w:r w:rsidR="00C42136">
        <w:t>e</w:t>
      </w:r>
      <w:r w:rsidR="008E7FA0">
        <w:t xml:space="preserve"> su </w:t>
      </w:r>
      <w:r w:rsidR="00C42136">
        <w:t>dvije dokument kamere 6.886 kn, te automatika za poteznu lesu kod matične škole u Krapini 14.807 kn.</w:t>
      </w:r>
    </w:p>
    <w:p w14:paraId="7CC9C0A0" w14:textId="614921AF" w:rsidR="009E63B8" w:rsidRDefault="006E58A5" w:rsidP="003A5EBF">
      <w:pPr>
        <w:pStyle w:val="Bezproreda"/>
      </w:pPr>
      <w:r w:rsidRPr="00B568CE">
        <w:rPr>
          <w:u w:val="single"/>
        </w:rPr>
        <w:t>Bilješke broj 4</w:t>
      </w:r>
      <w:r w:rsidR="00DA361F" w:rsidRPr="00B568CE">
        <w:rPr>
          <w:u w:val="single"/>
        </w:rPr>
        <w:t>5</w:t>
      </w:r>
      <w:r w:rsidR="00DA361F">
        <w:t xml:space="preserve"> -</w:t>
      </w:r>
      <w:r w:rsidR="00E44E73">
        <w:t xml:space="preserve"> AOP 3</w:t>
      </w:r>
      <w:r w:rsidR="008E7FA0">
        <w:t>7</w:t>
      </w:r>
      <w:r w:rsidR="00C42136">
        <w:t>8</w:t>
      </w:r>
      <w:r w:rsidR="008E7FA0">
        <w:t xml:space="preserve"> </w:t>
      </w:r>
      <w:r w:rsidR="00E44E73">
        <w:t xml:space="preserve">- Knjige- u prethodnom izvještajnom razdoblju ostvareno </w:t>
      </w:r>
      <w:r w:rsidR="00C42136">
        <w:t>128.875</w:t>
      </w:r>
      <w:r w:rsidR="00E44E73">
        <w:t xml:space="preserve"> kn, a u tekućem izvještajnom razdoblju </w:t>
      </w:r>
      <w:r w:rsidR="00C42136">
        <w:t>66.591</w:t>
      </w:r>
      <w:r w:rsidR="00870533">
        <w:t xml:space="preserve"> kn – </w:t>
      </w:r>
      <w:r w:rsidR="00A22E34">
        <w:t xml:space="preserve">za nabavu knjiga i stručne literature za školsku knjižnicu </w:t>
      </w:r>
      <w:r w:rsidR="000C2516">
        <w:t xml:space="preserve">utrošeno je </w:t>
      </w:r>
      <w:r w:rsidR="00A22E34">
        <w:t>1</w:t>
      </w:r>
      <w:r w:rsidR="00C42136">
        <w:t>1.140</w:t>
      </w:r>
      <w:r w:rsidR="00A22E34">
        <w:t xml:space="preserve"> kn, dobivene donacija knjiga </w:t>
      </w:r>
      <w:r w:rsidR="00C42136">
        <w:t>1.579</w:t>
      </w:r>
      <w:r w:rsidR="00A22E34">
        <w:t xml:space="preserve"> kn</w:t>
      </w:r>
      <w:r w:rsidR="00EC7BC0">
        <w:t>,</w:t>
      </w:r>
      <w:r w:rsidR="00A22E34">
        <w:t xml:space="preserve"> i najveća stavka</w:t>
      </w:r>
      <w:r w:rsidR="007E0932">
        <w:t>,</w:t>
      </w:r>
      <w:r w:rsidR="00A22E34">
        <w:t xml:space="preserve"> </w:t>
      </w:r>
      <w:r w:rsidR="00C42136">
        <w:t xml:space="preserve">53.872 </w:t>
      </w:r>
      <w:r w:rsidR="00A22E34">
        <w:t>kn za nabavu udžbenika za učenike naše škole koje je financiralo MZO.</w:t>
      </w:r>
      <w:r w:rsidR="00557F34">
        <w:t xml:space="preserve"> Iznos</w:t>
      </w:r>
      <w:r w:rsidR="004F3D53">
        <w:t xml:space="preserve"> za nabavu udžbenika</w:t>
      </w:r>
      <w:r w:rsidR="00557F34">
        <w:t xml:space="preserve"> je manji jer se koriste udžbenici nabavljeni </w:t>
      </w:r>
      <w:r w:rsidR="004F3D53">
        <w:t>prethodn</w:t>
      </w:r>
      <w:r w:rsidR="00557F34">
        <w:t>ih godina.</w:t>
      </w:r>
    </w:p>
    <w:p w14:paraId="62EFA220" w14:textId="1CC6A9AF" w:rsidR="000C4545" w:rsidRDefault="000B6E3D" w:rsidP="003A5EBF">
      <w:pPr>
        <w:pStyle w:val="Bezproreda"/>
      </w:pPr>
      <w:r w:rsidRPr="00B568CE">
        <w:rPr>
          <w:u w:val="single"/>
        </w:rPr>
        <w:t xml:space="preserve">Bilješka broj </w:t>
      </w:r>
      <w:r w:rsidR="006E58A5" w:rsidRPr="00B568CE">
        <w:rPr>
          <w:u w:val="single"/>
        </w:rPr>
        <w:t>4</w:t>
      </w:r>
      <w:r w:rsidR="00DA361F" w:rsidRPr="00B568CE">
        <w:rPr>
          <w:u w:val="single"/>
        </w:rPr>
        <w:t>6</w:t>
      </w:r>
      <w:r w:rsidR="00BC53CD">
        <w:t xml:space="preserve"> – AOP </w:t>
      </w:r>
      <w:r w:rsidR="008E7FA0">
        <w:t>39</w:t>
      </w:r>
      <w:r w:rsidR="00C42136">
        <w:t>7</w:t>
      </w:r>
      <w:r w:rsidR="00BC53CD">
        <w:t xml:space="preserve"> Dodatna ulaganja na građevinskim objektima – u prethodnom izvještajnom razdoblju</w:t>
      </w:r>
      <w:r w:rsidR="000C2516">
        <w:t xml:space="preserve"> ostvareno</w:t>
      </w:r>
      <w:r w:rsidR="00C42136">
        <w:t xml:space="preserve"> 285.000 kn</w:t>
      </w:r>
      <w:r w:rsidR="000C2516">
        <w:t>,</w:t>
      </w:r>
      <w:r w:rsidR="00BC53CD">
        <w:t xml:space="preserve"> a u tekućem </w:t>
      </w:r>
      <w:r w:rsidR="00C42136">
        <w:t>491.553</w:t>
      </w:r>
      <w:r w:rsidR="00165AF4">
        <w:t xml:space="preserve"> kn</w:t>
      </w:r>
      <w:r w:rsidR="00C42136">
        <w:t xml:space="preserve">. Odnosi se na dodatna ulaganja na građevinskim objektima-povećanje mehaničke stabilnosti i sanaciju sportske dvorane te prilaznih staza kod matične škole Krapina zbog štete nastale uslijed potresa. Najveći dio, 281.000 kn financiran je iz decentraliziranih sredstava dok je 99.653 kune financirano sredstvima Grada Krapine. Također, škola je prijavom na natječaj Ministarstva kulture dobila 100.000 kn za izmjenu unutarnje stolarije te su izmijenjena vrata u prizemlju zgrade matične škole u Krapini. Kako bi moglo biti izmijenjeno svih osam </w:t>
      </w:r>
      <w:r w:rsidR="000558C0">
        <w:t>v</w:t>
      </w:r>
      <w:r w:rsidR="00C42136">
        <w:t>rata na učionicama i tajništvu u prizemlju zgrade, dobili smo 10.900 kn dodatnih sredstava od strane osnivača, Grada Krapine.</w:t>
      </w:r>
      <w:r w:rsidR="00165AF4">
        <w:t xml:space="preserve"> </w:t>
      </w:r>
    </w:p>
    <w:p w14:paraId="6B4D2F7D" w14:textId="77777777" w:rsidR="00C26BE4" w:rsidRDefault="00C26BE4" w:rsidP="000C4545">
      <w:pPr>
        <w:pStyle w:val="Bezproreda"/>
      </w:pPr>
    </w:p>
    <w:p w14:paraId="68604DBF" w14:textId="75A58E33" w:rsidR="000C4545" w:rsidRDefault="000C4545" w:rsidP="000C4545">
      <w:pPr>
        <w:pStyle w:val="Bezproreda"/>
      </w:pPr>
      <w:r>
        <w:t xml:space="preserve">Ostali ovdje nenavedeni </w:t>
      </w:r>
      <w:r w:rsidR="007E0932">
        <w:t xml:space="preserve">prihodi i </w:t>
      </w:r>
      <w:r>
        <w:t>rashodi ostvareni su u manjem iznosu u odnosu na prethodno razdoblje te nisu značajno utjecali na poslovanje  ili uopće nisu ostvareni tijekom izvještajnog razdoblja.</w:t>
      </w:r>
    </w:p>
    <w:p w14:paraId="51937D17" w14:textId="77777777" w:rsidR="000C4545" w:rsidRDefault="000C4545" w:rsidP="003A5EBF">
      <w:pPr>
        <w:pStyle w:val="Bezproreda"/>
      </w:pPr>
    </w:p>
    <w:p w14:paraId="2232B9FE" w14:textId="1A400177" w:rsidR="00541C44" w:rsidRDefault="006E58A5" w:rsidP="00860251">
      <w:pPr>
        <w:pStyle w:val="Bezproreda"/>
      </w:pPr>
      <w:r w:rsidRPr="00B568CE">
        <w:rPr>
          <w:u w:val="single"/>
        </w:rPr>
        <w:t>Bilješka broj 4</w:t>
      </w:r>
      <w:r w:rsidR="00DA361F" w:rsidRPr="00B568CE">
        <w:rPr>
          <w:u w:val="single"/>
        </w:rPr>
        <w:t>7</w:t>
      </w:r>
      <w:r w:rsidR="00600FB0">
        <w:t xml:space="preserve"> – AOP 63</w:t>
      </w:r>
      <w:r w:rsidR="00C26BE4">
        <w:t>4</w:t>
      </w:r>
      <w:r w:rsidR="00600FB0">
        <w:t xml:space="preserve"> </w:t>
      </w:r>
      <w:r w:rsidR="00EF601A">
        <w:t>- Višak prihoda i primitaka</w:t>
      </w:r>
      <w:r w:rsidR="00600FB0">
        <w:t xml:space="preserve"> </w:t>
      </w:r>
      <w:r w:rsidR="00E53144">
        <w:t xml:space="preserve">– </w:t>
      </w:r>
      <w:r w:rsidR="00C26BE4">
        <w:t>u tekućem izvještajnom razdoblju iznosi 17.548 kn.</w:t>
      </w:r>
    </w:p>
    <w:p w14:paraId="4760D9DA" w14:textId="15229405" w:rsidR="00C26BE4" w:rsidRDefault="00C26BE4" w:rsidP="00860251">
      <w:pPr>
        <w:pStyle w:val="Bezproreda"/>
      </w:pPr>
      <w:r w:rsidRPr="00B568CE">
        <w:rPr>
          <w:u w:val="single"/>
        </w:rPr>
        <w:t>Bilješka broj</w:t>
      </w:r>
      <w:r w:rsidR="00DA361F" w:rsidRPr="00B568CE">
        <w:rPr>
          <w:u w:val="single"/>
        </w:rPr>
        <w:t xml:space="preserve"> 48</w:t>
      </w:r>
      <w:r>
        <w:t xml:space="preserve">  - AOP 637 Manjak prihoda i primitaka – preneseni iznosi 17.648 kn.</w:t>
      </w:r>
    </w:p>
    <w:p w14:paraId="4C5C2416" w14:textId="1184DCC7" w:rsidR="00C26BE4" w:rsidRDefault="00C26BE4" w:rsidP="00860251">
      <w:pPr>
        <w:pStyle w:val="Bezproreda"/>
      </w:pPr>
      <w:r w:rsidRPr="00B568CE">
        <w:rPr>
          <w:u w:val="single"/>
        </w:rPr>
        <w:t xml:space="preserve">Bilješka broj </w:t>
      </w:r>
      <w:r w:rsidR="00DA361F" w:rsidRPr="00B568CE">
        <w:rPr>
          <w:u w:val="single"/>
        </w:rPr>
        <w:t>49</w:t>
      </w:r>
      <w:r w:rsidR="00DA361F">
        <w:t xml:space="preserve"> </w:t>
      </w:r>
      <w:r>
        <w:t xml:space="preserve"> </w:t>
      </w:r>
      <w:r w:rsidR="00E8408C">
        <w:t>-</w:t>
      </w:r>
      <w:r>
        <w:t xml:space="preserve"> AOP 639</w:t>
      </w:r>
      <w:r w:rsidR="00E8408C">
        <w:t xml:space="preserve"> M</w:t>
      </w:r>
      <w:r>
        <w:t>anjak prihoda i primitaka za pokriće u sljedećem razdoblju iznosi 100 k</w:t>
      </w:r>
      <w:r w:rsidR="00E8408C">
        <w:t>n</w:t>
      </w:r>
      <w:r>
        <w:t>.</w:t>
      </w:r>
      <w:r w:rsidR="00CE2243">
        <w:t xml:space="preserve"> Nastao je zbog modificiranog računovodstvenog načela prema kojem se rashodi priznaju na temelju nastanka poslovnog događaja i u izvještajnom razdoblju na koje se odnose, dok se prihodi priznaju u izvještajnom razdoblju u kojem su postali raspoloživi. Škola ima nenaplaćena potraživanja za školsku kuhinju od roditelja 27.885 kn i 1.270 kn od radnika škole, 5.213 kn za projekt „Zalogajček“ od KZŽ</w:t>
      </w:r>
      <w:r w:rsidR="00CE3D46">
        <w:t xml:space="preserve">, </w:t>
      </w:r>
      <w:r w:rsidR="00CE2243">
        <w:t xml:space="preserve">zatim 1.650 kn za iznajmljivanje dvorane. Isto tako, škola je bila dužna organizirati provođenje </w:t>
      </w:r>
      <w:r w:rsidR="00CE3D46">
        <w:t xml:space="preserve">Covid </w:t>
      </w:r>
      <w:r w:rsidR="00CE2243">
        <w:t>testiranja radnika koji nisu cijepljeni</w:t>
      </w:r>
      <w:r w:rsidR="00CE3D46">
        <w:t>,</w:t>
      </w:r>
      <w:r w:rsidR="00CE2243">
        <w:t xml:space="preserve"> što za studeni i prosinac iznosi 11.950 kuna. Krajem prosinca zaprimljena je pravomoćna sudska presuda za koju su rashodi knjiženi u ukupnom iznosu 15.146 kn u 2021. god. </w:t>
      </w:r>
    </w:p>
    <w:p w14:paraId="0F160890" w14:textId="573F84E2" w:rsidR="00E53144" w:rsidRDefault="0097613A" w:rsidP="00860251">
      <w:pPr>
        <w:pStyle w:val="Bezproreda"/>
      </w:pPr>
      <w:r>
        <w:t xml:space="preserve">Prihodi za gore navedene rashode </w:t>
      </w:r>
      <w:r w:rsidR="0029467B">
        <w:t xml:space="preserve"> </w:t>
      </w:r>
      <w:r w:rsidR="00696AE3">
        <w:t>b</w:t>
      </w:r>
      <w:r w:rsidR="0029467B">
        <w:t xml:space="preserve">iti će ostvareni </w:t>
      </w:r>
      <w:r w:rsidR="00CE3D46">
        <w:t>tijekom</w:t>
      </w:r>
      <w:r w:rsidR="0029467B">
        <w:t xml:space="preserve"> 202</w:t>
      </w:r>
      <w:r w:rsidR="00CE3D46">
        <w:t>2</w:t>
      </w:r>
      <w:r w:rsidR="0029467B">
        <w:t>. godin</w:t>
      </w:r>
      <w:r w:rsidR="00CE3D46">
        <w:t>e</w:t>
      </w:r>
      <w:r w:rsidR="0029467B">
        <w:t>.</w:t>
      </w:r>
    </w:p>
    <w:p w14:paraId="02712274" w14:textId="77777777" w:rsidR="00044140" w:rsidRDefault="00044140" w:rsidP="00860251">
      <w:pPr>
        <w:pStyle w:val="Bezproreda"/>
      </w:pPr>
    </w:p>
    <w:p w14:paraId="5B533422" w14:textId="32F40B72" w:rsidR="00754619" w:rsidRDefault="000059D8" w:rsidP="00860251">
      <w:pPr>
        <w:pStyle w:val="Bezproreda"/>
      </w:pPr>
      <w:r>
        <w:t>Prikaz rezultata prema izvorima financiranja:</w:t>
      </w:r>
    </w:p>
    <w:p w14:paraId="5767F11A" w14:textId="49994BDF" w:rsidR="000059D8" w:rsidRDefault="000059D8" w:rsidP="00860251">
      <w:pPr>
        <w:pStyle w:val="Bezproreda"/>
      </w:pPr>
    </w:p>
    <w:tbl>
      <w:tblPr>
        <w:tblStyle w:val="Reetkatablice"/>
        <w:tblW w:w="0" w:type="auto"/>
        <w:tblLook w:val="04A0" w:firstRow="1" w:lastRow="0" w:firstColumn="1" w:lastColumn="0" w:noHBand="0" w:noVBand="1"/>
      </w:tblPr>
      <w:tblGrid>
        <w:gridCol w:w="1518"/>
        <w:gridCol w:w="1085"/>
        <w:gridCol w:w="1036"/>
        <w:gridCol w:w="1070"/>
        <w:gridCol w:w="1148"/>
        <w:gridCol w:w="1068"/>
        <w:gridCol w:w="1215"/>
        <w:gridCol w:w="1148"/>
      </w:tblGrid>
      <w:tr w:rsidR="000059D8" w14:paraId="5F03A530" w14:textId="77777777" w:rsidTr="008E766B">
        <w:trPr>
          <w:trHeight w:val="555"/>
        </w:trPr>
        <w:tc>
          <w:tcPr>
            <w:tcW w:w="1563" w:type="dxa"/>
            <w:vMerge w:val="restart"/>
            <w:tcBorders>
              <w:tl2br w:val="single" w:sz="4" w:space="0" w:color="auto"/>
            </w:tcBorders>
          </w:tcPr>
          <w:p w14:paraId="763E98A6" w14:textId="42475520" w:rsidR="000059D8" w:rsidRPr="00696AE3" w:rsidRDefault="000059D8" w:rsidP="001F0219">
            <w:pPr>
              <w:pStyle w:val="Bezproreda"/>
              <w:jc w:val="center"/>
            </w:pPr>
            <w:r w:rsidRPr="00696AE3">
              <w:t xml:space="preserve">Izvor    prihoda i </w:t>
            </w:r>
            <w:r w:rsidR="001F0219">
              <w:t xml:space="preserve">  </w:t>
            </w:r>
            <w:r w:rsidRPr="00696AE3">
              <w:t>primitaka</w:t>
            </w:r>
          </w:p>
          <w:p w14:paraId="0A63B438" w14:textId="77777777" w:rsidR="000059D8" w:rsidRPr="00696AE3" w:rsidRDefault="000059D8" w:rsidP="001F0219">
            <w:pPr>
              <w:pStyle w:val="Bezproreda"/>
              <w:jc w:val="center"/>
            </w:pPr>
          </w:p>
          <w:p w14:paraId="231E5C74" w14:textId="77777777" w:rsidR="000059D8" w:rsidRPr="00696AE3" w:rsidRDefault="000059D8" w:rsidP="001F0219">
            <w:pPr>
              <w:pStyle w:val="Bezproreda"/>
              <w:jc w:val="center"/>
            </w:pPr>
          </w:p>
          <w:p w14:paraId="120E413B" w14:textId="77777777" w:rsidR="000059D8" w:rsidRPr="00696AE3" w:rsidRDefault="000059D8" w:rsidP="001F0219">
            <w:pPr>
              <w:pStyle w:val="Bezproreda"/>
              <w:jc w:val="center"/>
            </w:pPr>
          </w:p>
          <w:p w14:paraId="5750BFF2" w14:textId="77777777" w:rsidR="000059D8" w:rsidRPr="00696AE3" w:rsidRDefault="000059D8" w:rsidP="001F0219">
            <w:pPr>
              <w:pStyle w:val="Bezproreda"/>
              <w:jc w:val="center"/>
            </w:pPr>
          </w:p>
          <w:p w14:paraId="71F1E6B5" w14:textId="77777777" w:rsidR="000059D8" w:rsidRPr="00696AE3" w:rsidRDefault="000059D8" w:rsidP="001F0219">
            <w:pPr>
              <w:pStyle w:val="Bezproreda"/>
              <w:jc w:val="center"/>
            </w:pPr>
          </w:p>
          <w:p w14:paraId="008EAC9D" w14:textId="111A1F81" w:rsidR="000059D8" w:rsidRPr="00696AE3" w:rsidRDefault="000059D8" w:rsidP="001F0219">
            <w:pPr>
              <w:pStyle w:val="Bezproreda"/>
              <w:jc w:val="center"/>
            </w:pPr>
            <w:r w:rsidRPr="00696AE3">
              <w:t>Račun</w:t>
            </w:r>
          </w:p>
        </w:tc>
        <w:tc>
          <w:tcPr>
            <w:tcW w:w="7725" w:type="dxa"/>
            <w:gridSpan w:val="7"/>
          </w:tcPr>
          <w:p w14:paraId="638E23E3" w14:textId="54044B2F" w:rsidR="000059D8" w:rsidRDefault="000059D8" w:rsidP="000059D8">
            <w:pPr>
              <w:pStyle w:val="Bezproreda"/>
              <w:jc w:val="center"/>
            </w:pPr>
            <w:r>
              <w:t>202</w:t>
            </w:r>
            <w:r w:rsidR="00966679">
              <w:t>1</w:t>
            </w:r>
            <w:r>
              <w:t>. godina</w:t>
            </w:r>
          </w:p>
        </w:tc>
      </w:tr>
      <w:tr w:rsidR="008E766B" w14:paraId="79D824D0" w14:textId="77777777" w:rsidTr="008E766B">
        <w:trPr>
          <w:trHeight w:val="1590"/>
        </w:trPr>
        <w:tc>
          <w:tcPr>
            <w:tcW w:w="1563" w:type="dxa"/>
            <w:vMerge/>
            <w:tcBorders>
              <w:tl2br w:val="single" w:sz="4" w:space="0" w:color="auto"/>
            </w:tcBorders>
          </w:tcPr>
          <w:p w14:paraId="4998D683" w14:textId="77777777" w:rsidR="000059D8" w:rsidRDefault="000059D8" w:rsidP="00860251">
            <w:pPr>
              <w:pStyle w:val="Bezproreda"/>
            </w:pPr>
          </w:p>
        </w:tc>
        <w:tc>
          <w:tcPr>
            <w:tcW w:w="1087" w:type="dxa"/>
          </w:tcPr>
          <w:p w14:paraId="076A3EE7" w14:textId="39FF63FD" w:rsidR="000059D8" w:rsidRDefault="000059D8" w:rsidP="00044140">
            <w:pPr>
              <w:pStyle w:val="Bezproreda"/>
              <w:jc w:val="center"/>
            </w:pPr>
            <w:r>
              <w:t>Opći prihodi i primici</w:t>
            </w:r>
          </w:p>
        </w:tc>
        <w:tc>
          <w:tcPr>
            <w:tcW w:w="1054" w:type="dxa"/>
          </w:tcPr>
          <w:p w14:paraId="11FBD932" w14:textId="4A40E46D" w:rsidR="000059D8" w:rsidRDefault="000059D8" w:rsidP="00044140">
            <w:pPr>
              <w:pStyle w:val="Bezproreda"/>
              <w:jc w:val="center"/>
            </w:pPr>
            <w:r>
              <w:t>Vlastiti prihodi</w:t>
            </w:r>
          </w:p>
        </w:tc>
        <w:tc>
          <w:tcPr>
            <w:tcW w:w="1077" w:type="dxa"/>
          </w:tcPr>
          <w:p w14:paraId="05C80C43" w14:textId="18D2C013" w:rsidR="000059D8" w:rsidRDefault="000059D8" w:rsidP="00044140">
            <w:pPr>
              <w:pStyle w:val="Bezproreda"/>
              <w:jc w:val="center"/>
            </w:pPr>
            <w:r>
              <w:t>Prihodi za posebne namjene</w:t>
            </w:r>
          </w:p>
        </w:tc>
        <w:tc>
          <w:tcPr>
            <w:tcW w:w="1148" w:type="dxa"/>
          </w:tcPr>
          <w:p w14:paraId="668B298C" w14:textId="406A54AB" w:rsidR="000059D8" w:rsidRDefault="000059D8" w:rsidP="00044140">
            <w:pPr>
              <w:pStyle w:val="Bezproreda"/>
              <w:jc w:val="center"/>
            </w:pPr>
            <w:r>
              <w:t>Pomoći</w:t>
            </w:r>
          </w:p>
        </w:tc>
        <w:tc>
          <w:tcPr>
            <w:tcW w:w="1076" w:type="dxa"/>
          </w:tcPr>
          <w:p w14:paraId="03C5DD71" w14:textId="7241FC6F" w:rsidR="000059D8" w:rsidRDefault="000059D8" w:rsidP="00044140">
            <w:pPr>
              <w:pStyle w:val="Bezproreda"/>
              <w:jc w:val="center"/>
            </w:pPr>
            <w:r>
              <w:t>Donacije</w:t>
            </w:r>
          </w:p>
        </w:tc>
        <w:tc>
          <w:tcPr>
            <w:tcW w:w="1215" w:type="dxa"/>
          </w:tcPr>
          <w:p w14:paraId="58CCFC02" w14:textId="6E001789" w:rsidR="000059D8" w:rsidRDefault="000059D8" w:rsidP="00044140">
            <w:pPr>
              <w:pStyle w:val="Bezproreda"/>
              <w:jc w:val="center"/>
            </w:pPr>
            <w:r>
              <w:t>Prihodi od prodaje imovine</w:t>
            </w:r>
            <w:r w:rsidR="00283D4F">
              <w:t xml:space="preserve"> i nadoknade štete od osiguranja</w:t>
            </w:r>
          </w:p>
        </w:tc>
        <w:tc>
          <w:tcPr>
            <w:tcW w:w="1068" w:type="dxa"/>
          </w:tcPr>
          <w:p w14:paraId="4AECCF43" w14:textId="6E5DE03C" w:rsidR="000059D8" w:rsidRDefault="00C56C2D" w:rsidP="00044140">
            <w:pPr>
              <w:pStyle w:val="Bezproreda"/>
              <w:jc w:val="center"/>
            </w:pPr>
            <w:r>
              <w:t>Rezultat</w:t>
            </w:r>
          </w:p>
        </w:tc>
      </w:tr>
      <w:tr w:rsidR="008E766B" w14:paraId="2F04CEFF" w14:textId="77777777" w:rsidTr="008E766B">
        <w:tc>
          <w:tcPr>
            <w:tcW w:w="1563" w:type="dxa"/>
          </w:tcPr>
          <w:p w14:paraId="29E50798" w14:textId="21ACEABC" w:rsidR="000059D8" w:rsidRPr="00696AE3" w:rsidRDefault="000059D8" w:rsidP="00044140">
            <w:pPr>
              <w:pStyle w:val="Bezproreda"/>
              <w:jc w:val="center"/>
              <w:rPr>
                <w:sz w:val="16"/>
                <w:szCs w:val="16"/>
              </w:rPr>
            </w:pPr>
            <w:r w:rsidRPr="00696AE3">
              <w:rPr>
                <w:sz w:val="16"/>
                <w:szCs w:val="16"/>
              </w:rPr>
              <w:t>6</w:t>
            </w:r>
          </w:p>
        </w:tc>
        <w:tc>
          <w:tcPr>
            <w:tcW w:w="1087" w:type="dxa"/>
          </w:tcPr>
          <w:p w14:paraId="52610DF0" w14:textId="7842E164" w:rsidR="000059D8" w:rsidRPr="00696AE3" w:rsidRDefault="000059D8" w:rsidP="00044140">
            <w:pPr>
              <w:pStyle w:val="Bezproreda"/>
              <w:jc w:val="center"/>
              <w:rPr>
                <w:sz w:val="16"/>
                <w:szCs w:val="16"/>
              </w:rPr>
            </w:pPr>
            <w:r w:rsidRPr="00696AE3">
              <w:rPr>
                <w:sz w:val="16"/>
                <w:szCs w:val="16"/>
              </w:rPr>
              <w:t>1.</w:t>
            </w:r>
            <w:r w:rsidR="008E766B">
              <w:rPr>
                <w:sz w:val="16"/>
                <w:szCs w:val="16"/>
              </w:rPr>
              <w:t>689.287,56</w:t>
            </w:r>
          </w:p>
        </w:tc>
        <w:tc>
          <w:tcPr>
            <w:tcW w:w="1054" w:type="dxa"/>
          </w:tcPr>
          <w:p w14:paraId="7060811C" w14:textId="2208FEF6" w:rsidR="000059D8" w:rsidRPr="00696AE3" w:rsidRDefault="008E766B" w:rsidP="00044140">
            <w:pPr>
              <w:pStyle w:val="Bezproreda"/>
              <w:jc w:val="center"/>
              <w:rPr>
                <w:sz w:val="16"/>
                <w:szCs w:val="16"/>
              </w:rPr>
            </w:pPr>
            <w:r>
              <w:rPr>
                <w:sz w:val="16"/>
                <w:szCs w:val="16"/>
              </w:rPr>
              <w:t>10.900,00</w:t>
            </w:r>
          </w:p>
        </w:tc>
        <w:tc>
          <w:tcPr>
            <w:tcW w:w="1077" w:type="dxa"/>
          </w:tcPr>
          <w:p w14:paraId="4145EF9B" w14:textId="188BA800" w:rsidR="000059D8" w:rsidRPr="00696AE3" w:rsidRDefault="008E766B" w:rsidP="00044140">
            <w:pPr>
              <w:pStyle w:val="Bezproreda"/>
              <w:jc w:val="center"/>
              <w:rPr>
                <w:sz w:val="16"/>
                <w:szCs w:val="16"/>
              </w:rPr>
            </w:pPr>
            <w:r>
              <w:rPr>
                <w:sz w:val="16"/>
                <w:szCs w:val="16"/>
              </w:rPr>
              <w:t>321.543,75</w:t>
            </w:r>
          </w:p>
        </w:tc>
        <w:tc>
          <w:tcPr>
            <w:tcW w:w="1148" w:type="dxa"/>
          </w:tcPr>
          <w:p w14:paraId="3305DE75" w14:textId="4FDE906C" w:rsidR="000059D8" w:rsidRPr="00696AE3" w:rsidRDefault="008E766B" w:rsidP="00044140">
            <w:pPr>
              <w:pStyle w:val="Bezproreda"/>
              <w:jc w:val="center"/>
              <w:rPr>
                <w:sz w:val="16"/>
                <w:szCs w:val="16"/>
              </w:rPr>
            </w:pPr>
            <w:r>
              <w:rPr>
                <w:sz w:val="16"/>
                <w:szCs w:val="16"/>
              </w:rPr>
              <w:t>10.335.676,80</w:t>
            </w:r>
          </w:p>
        </w:tc>
        <w:tc>
          <w:tcPr>
            <w:tcW w:w="1076" w:type="dxa"/>
          </w:tcPr>
          <w:p w14:paraId="0333FD7B" w14:textId="0072A848" w:rsidR="000059D8" w:rsidRPr="00696AE3" w:rsidRDefault="008E766B" w:rsidP="00044140">
            <w:pPr>
              <w:pStyle w:val="Bezproreda"/>
              <w:jc w:val="center"/>
              <w:rPr>
                <w:sz w:val="16"/>
                <w:szCs w:val="16"/>
              </w:rPr>
            </w:pPr>
            <w:r>
              <w:rPr>
                <w:sz w:val="16"/>
                <w:szCs w:val="16"/>
              </w:rPr>
              <w:t>15.101,74</w:t>
            </w:r>
          </w:p>
        </w:tc>
        <w:tc>
          <w:tcPr>
            <w:tcW w:w="1215" w:type="dxa"/>
          </w:tcPr>
          <w:p w14:paraId="7C901C64" w14:textId="6428E303" w:rsidR="000059D8" w:rsidRPr="00696AE3" w:rsidRDefault="008E766B" w:rsidP="00044140">
            <w:pPr>
              <w:pStyle w:val="Bezproreda"/>
              <w:jc w:val="center"/>
              <w:rPr>
                <w:sz w:val="16"/>
                <w:szCs w:val="16"/>
              </w:rPr>
            </w:pPr>
            <w:r>
              <w:rPr>
                <w:sz w:val="16"/>
                <w:szCs w:val="16"/>
              </w:rPr>
              <w:t>17.089,50</w:t>
            </w:r>
          </w:p>
        </w:tc>
        <w:tc>
          <w:tcPr>
            <w:tcW w:w="1068" w:type="dxa"/>
          </w:tcPr>
          <w:p w14:paraId="3F9E17D3" w14:textId="1AD2B8EC" w:rsidR="000059D8" w:rsidRPr="00696AE3" w:rsidRDefault="00C56C2D" w:rsidP="00044140">
            <w:pPr>
              <w:pStyle w:val="Bezproreda"/>
              <w:jc w:val="center"/>
              <w:rPr>
                <w:sz w:val="16"/>
                <w:szCs w:val="16"/>
              </w:rPr>
            </w:pPr>
            <w:r>
              <w:rPr>
                <w:sz w:val="16"/>
                <w:szCs w:val="16"/>
              </w:rPr>
              <w:t>12.389.599,35</w:t>
            </w:r>
          </w:p>
        </w:tc>
      </w:tr>
      <w:tr w:rsidR="008E766B" w14:paraId="6313540B" w14:textId="77777777" w:rsidTr="008E766B">
        <w:tc>
          <w:tcPr>
            <w:tcW w:w="1563" w:type="dxa"/>
          </w:tcPr>
          <w:p w14:paraId="6685E234" w14:textId="01B5FCD3" w:rsidR="000059D8" w:rsidRPr="00696AE3" w:rsidRDefault="000059D8" w:rsidP="00044140">
            <w:pPr>
              <w:pStyle w:val="Bezproreda"/>
              <w:jc w:val="center"/>
              <w:rPr>
                <w:sz w:val="16"/>
                <w:szCs w:val="16"/>
              </w:rPr>
            </w:pPr>
            <w:r w:rsidRPr="00696AE3">
              <w:rPr>
                <w:sz w:val="16"/>
                <w:szCs w:val="16"/>
              </w:rPr>
              <w:t>3</w:t>
            </w:r>
          </w:p>
        </w:tc>
        <w:tc>
          <w:tcPr>
            <w:tcW w:w="1087" w:type="dxa"/>
          </w:tcPr>
          <w:p w14:paraId="3943CF5D" w14:textId="529CCCA0" w:rsidR="000059D8" w:rsidRPr="00696AE3" w:rsidRDefault="00945100" w:rsidP="00044140">
            <w:pPr>
              <w:pStyle w:val="Bezproreda"/>
              <w:jc w:val="center"/>
              <w:rPr>
                <w:sz w:val="16"/>
                <w:szCs w:val="16"/>
              </w:rPr>
            </w:pPr>
            <w:r w:rsidRPr="00696AE3">
              <w:rPr>
                <w:sz w:val="16"/>
                <w:szCs w:val="16"/>
              </w:rPr>
              <w:t>1.</w:t>
            </w:r>
            <w:r w:rsidR="008E766B">
              <w:rPr>
                <w:sz w:val="16"/>
                <w:szCs w:val="16"/>
              </w:rPr>
              <w:t>217.516,15</w:t>
            </w:r>
          </w:p>
        </w:tc>
        <w:tc>
          <w:tcPr>
            <w:tcW w:w="1054" w:type="dxa"/>
          </w:tcPr>
          <w:p w14:paraId="797700E4" w14:textId="7556E7C4" w:rsidR="000059D8" w:rsidRPr="00696AE3" w:rsidRDefault="008E766B" w:rsidP="00044140">
            <w:pPr>
              <w:pStyle w:val="Bezproreda"/>
              <w:jc w:val="center"/>
              <w:rPr>
                <w:sz w:val="16"/>
                <w:szCs w:val="16"/>
              </w:rPr>
            </w:pPr>
            <w:r>
              <w:rPr>
                <w:sz w:val="16"/>
                <w:szCs w:val="16"/>
              </w:rPr>
              <w:t>7.142,59</w:t>
            </w:r>
          </w:p>
        </w:tc>
        <w:tc>
          <w:tcPr>
            <w:tcW w:w="1077" w:type="dxa"/>
          </w:tcPr>
          <w:p w14:paraId="656A306C" w14:textId="36808D4F" w:rsidR="000059D8" w:rsidRPr="00696AE3" w:rsidRDefault="00945100" w:rsidP="00044140">
            <w:pPr>
              <w:pStyle w:val="Bezproreda"/>
              <w:jc w:val="center"/>
              <w:rPr>
                <w:sz w:val="16"/>
                <w:szCs w:val="16"/>
              </w:rPr>
            </w:pPr>
            <w:r w:rsidRPr="00696AE3">
              <w:rPr>
                <w:sz w:val="16"/>
                <w:szCs w:val="16"/>
              </w:rPr>
              <w:t>2</w:t>
            </w:r>
            <w:r w:rsidR="008E766B">
              <w:rPr>
                <w:sz w:val="16"/>
                <w:szCs w:val="16"/>
              </w:rPr>
              <w:t>95.932,13</w:t>
            </w:r>
          </w:p>
        </w:tc>
        <w:tc>
          <w:tcPr>
            <w:tcW w:w="1148" w:type="dxa"/>
          </w:tcPr>
          <w:p w14:paraId="35D09A58" w14:textId="423E8A93" w:rsidR="000059D8" w:rsidRPr="00696AE3" w:rsidRDefault="008E766B" w:rsidP="00044140">
            <w:pPr>
              <w:pStyle w:val="Bezproreda"/>
              <w:jc w:val="center"/>
              <w:rPr>
                <w:sz w:val="16"/>
                <w:szCs w:val="16"/>
              </w:rPr>
            </w:pPr>
            <w:r>
              <w:rPr>
                <w:sz w:val="16"/>
                <w:szCs w:val="16"/>
              </w:rPr>
              <w:t>10.176.018,98</w:t>
            </w:r>
          </w:p>
        </w:tc>
        <w:tc>
          <w:tcPr>
            <w:tcW w:w="1076" w:type="dxa"/>
          </w:tcPr>
          <w:p w14:paraId="1EBDE628" w14:textId="71CC633B" w:rsidR="000059D8" w:rsidRPr="00696AE3" w:rsidRDefault="008E766B" w:rsidP="00044140">
            <w:pPr>
              <w:pStyle w:val="Bezproreda"/>
              <w:jc w:val="center"/>
              <w:rPr>
                <w:sz w:val="16"/>
                <w:szCs w:val="16"/>
              </w:rPr>
            </w:pPr>
            <w:r>
              <w:rPr>
                <w:sz w:val="16"/>
                <w:szCs w:val="16"/>
              </w:rPr>
              <w:t>6.495,74</w:t>
            </w:r>
          </w:p>
        </w:tc>
        <w:tc>
          <w:tcPr>
            <w:tcW w:w="1215" w:type="dxa"/>
          </w:tcPr>
          <w:p w14:paraId="76334B3E" w14:textId="382507D4" w:rsidR="000059D8" w:rsidRPr="00696AE3" w:rsidRDefault="00696AE3" w:rsidP="00044140">
            <w:pPr>
              <w:pStyle w:val="Bezproreda"/>
              <w:jc w:val="center"/>
              <w:rPr>
                <w:sz w:val="16"/>
                <w:szCs w:val="16"/>
              </w:rPr>
            </w:pPr>
            <w:r w:rsidRPr="00696AE3">
              <w:rPr>
                <w:sz w:val="16"/>
                <w:szCs w:val="16"/>
              </w:rPr>
              <w:t>1</w:t>
            </w:r>
            <w:r w:rsidR="008E766B">
              <w:rPr>
                <w:sz w:val="16"/>
                <w:szCs w:val="16"/>
              </w:rPr>
              <w:t>6.612,66</w:t>
            </w:r>
          </w:p>
        </w:tc>
        <w:tc>
          <w:tcPr>
            <w:tcW w:w="1068" w:type="dxa"/>
          </w:tcPr>
          <w:p w14:paraId="28DA8B00" w14:textId="76996373" w:rsidR="000059D8" w:rsidRPr="00696AE3" w:rsidRDefault="00C56C2D" w:rsidP="00044140">
            <w:pPr>
              <w:pStyle w:val="Bezproreda"/>
              <w:jc w:val="center"/>
              <w:rPr>
                <w:sz w:val="16"/>
                <w:szCs w:val="16"/>
              </w:rPr>
            </w:pPr>
            <w:r>
              <w:rPr>
                <w:sz w:val="16"/>
                <w:szCs w:val="16"/>
              </w:rPr>
              <w:t>11.719.718,25</w:t>
            </w:r>
          </w:p>
        </w:tc>
      </w:tr>
      <w:tr w:rsidR="008E766B" w14:paraId="60EEFF62" w14:textId="77777777" w:rsidTr="008E766B">
        <w:tc>
          <w:tcPr>
            <w:tcW w:w="1563" w:type="dxa"/>
          </w:tcPr>
          <w:p w14:paraId="778C0A0D" w14:textId="3F14CAEC" w:rsidR="000059D8" w:rsidRPr="00696AE3" w:rsidRDefault="000059D8" w:rsidP="00044140">
            <w:pPr>
              <w:pStyle w:val="Bezproreda"/>
              <w:jc w:val="center"/>
              <w:rPr>
                <w:sz w:val="16"/>
                <w:szCs w:val="16"/>
              </w:rPr>
            </w:pPr>
            <w:r w:rsidRPr="00696AE3">
              <w:rPr>
                <w:sz w:val="16"/>
                <w:szCs w:val="16"/>
              </w:rPr>
              <w:t>Višak/manjak redovnog poslovanja</w:t>
            </w:r>
          </w:p>
        </w:tc>
        <w:tc>
          <w:tcPr>
            <w:tcW w:w="1087" w:type="dxa"/>
          </w:tcPr>
          <w:p w14:paraId="526A8FAE" w14:textId="5806B06F" w:rsidR="000059D8" w:rsidRPr="00696AE3" w:rsidRDefault="008E766B" w:rsidP="00044140">
            <w:pPr>
              <w:pStyle w:val="Bezproreda"/>
              <w:jc w:val="center"/>
              <w:rPr>
                <w:sz w:val="16"/>
                <w:szCs w:val="16"/>
              </w:rPr>
            </w:pPr>
            <w:r>
              <w:rPr>
                <w:sz w:val="16"/>
                <w:szCs w:val="16"/>
              </w:rPr>
              <w:t>471.771,41</w:t>
            </w:r>
          </w:p>
        </w:tc>
        <w:tc>
          <w:tcPr>
            <w:tcW w:w="1054" w:type="dxa"/>
          </w:tcPr>
          <w:p w14:paraId="5D16E2E5" w14:textId="33FB4470" w:rsidR="000059D8" w:rsidRPr="00696AE3" w:rsidRDefault="008E766B" w:rsidP="00044140">
            <w:pPr>
              <w:pStyle w:val="Bezproreda"/>
              <w:jc w:val="center"/>
              <w:rPr>
                <w:sz w:val="16"/>
                <w:szCs w:val="16"/>
              </w:rPr>
            </w:pPr>
            <w:r>
              <w:rPr>
                <w:sz w:val="16"/>
                <w:szCs w:val="16"/>
              </w:rPr>
              <w:t>3.757,41</w:t>
            </w:r>
          </w:p>
        </w:tc>
        <w:tc>
          <w:tcPr>
            <w:tcW w:w="1077" w:type="dxa"/>
          </w:tcPr>
          <w:p w14:paraId="520B5F7B" w14:textId="703EA3BE" w:rsidR="000059D8" w:rsidRPr="00696AE3" w:rsidRDefault="008E766B" w:rsidP="00044140">
            <w:pPr>
              <w:pStyle w:val="Bezproreda"/>
              <w:jc w:val="center"/>
              <w:rPr>
                <w:sz w:val="16"/>
                <w:szCs w:val="16"/>
              </w:rPr>
            </w:pPr>
            <w:r>
              <w:rPr>
                <w:sz w:val="16"/>
                <w:szCs w:val="16"/>
              </w:rPr>
              <w:t>25.611,62</w:t>
            </w:r>
          </w:p>
        </w:tc>
        <w:tc>
          <w:tcPr>
            <w:tcW w:w="1148" w:type="dxa"/>
          </w:tcPr>
          <w:p w14:paraId="195AC7EE" w14:textId="071D8C7D" w:rsidR="000059D8" w:rsidRPr="00696AE3" w:rsidRDefault="008E766B" w:rsidP="00044140">
            <w:pPr>
              <w:pStyle w:val="Bezproreda"/>
              <w:jc w:val="center"/>
              <w:rPr>
                <w:sz w:val="16"/>
                <w:szCs w:val="16"/>
              </w:rPr>
            </w:pPr>
            <w:r>
              <w:rPr>
                <w:sz w:val="16"/>
                <w:szCs w:val="16"/>
              </w:rPr>
              <w:t>159.657,82</w:t>
            </w:r>
          </w:p>
        </w:tc>
        <w:tc>
          <w:tcPr>
            <w:tcW w:w="1076" w:type="dxa"/>
          </w:tcPr>
          <w:p w14:paraId="4AB4AB8F" w14:textId="7BD1ACED" w:rsidR="000059D8" w:rsidRPr="00696AE3" w:rsidRDefault="008E766B" w:rsidP="008E766B">
            <w:pPr>
              <w:pStyle w:val="Bezproreda"/>
              <w:jc w:val="center"/>
              <w:rPr>
                <w:sz w:val="16"/>
                <w:szCs w:val="16"/>
              </w:rPr>
            </w:pPr>
            <w:r>
              <w:rPr>
                <w:sz w:val="16"/>
                <w:szCs w:val="16"/>
              </w:rPr>
              <w:t>8.606,00</w:t>
            </w:r>
          </w:p>
        </w:tc>
        <w:tc>
          <w:tcPr>
            <w:tcW w:w="1215" w:type="dxa"/>
          </w:tcPr>
          <w:p w14:paraId="10266C56" w14:textId="441DB569" w:rsidR="000059D8" w:rsidRPr="00696AE3" w:rsidRDefault="008E766B" w:rsidP="00044140">
            <w:pPr>
              <w:pStyle w:val="Bezproreda"/>
              <w:jc w:val="center"/>
              <w:rPr>
                <w:sz w:val="16"/>
                <w:szCs w:val="16"/>
              </w:rPr>
            </w:pPr>
            <w:r>
              <w:rPr>
                <w:sz w:val="16"/>
                <w:szCs w:val="16"/>
              </w:rPr>
              <w:t>476,84</w:t>
            </w:r>
          </w:p>
        </w:tc>
        <w:tc>
          <w:tcPr>
            <w:tcW w:w="1068" w:type="dxa"/>
          </w:tcPr>
          <w:p w14:paraId="2D16DB7C" w14:textId="0D3AB48D" w:rsidR="000059D8" w:rsidRPr="00696AE3" w:rsidRDefault="00C56C2D" w:rsidP="00044140">
            <w:pPr>
              <w:pStyle w:val="Bezproreda"/>
              <w:jc w:val="center"/>
              <w:rPr>
                <w:sz w:val="16"/>
                <w:szCs w:val="16"/>
              </w:rPr>
            </w:pPr>
            <w:r>
              <w:rPr>
                <w:sz w:val="16"/>
                <w:szCs w:val="16"/>
              </w:rPr>
              <w:t>669.881,10</w:t>
            </w:r>
          </w:p>
        </w:tc>
      </w:tr>
      <w:tr w:rsidR="008E766B" w14:paraId="030277EB" w14:textId="77777777" w:rsidTr="008E766B">
        <w:tc>
          <w:tcPr>
            <w:tcW w:w="1563" w:type="dxa"/>
          </w:tcPr>
          <w:p w14:paraId="4BC83C8D" w14:textId="1BB98C9D" w:rsidR="000059D8" w:rsidRPr="00696AE3" w:rsidRDefault="000059D8" w:rsidP="00044140">
            <w:pPr>
              <w:pStyle w:val="Bezproreda"/>
              <w:jc w:val="center"/>
              <w:rPr>
                <w:sz w:val="16"/>
                <w:szCs w:val="16"/>
              </w:rPr>
            </w:pPr>
            <w:r w:rsidRPr="00696AE3">
              <w:rPr>
                <w:sz w:val="16"/>
                <w:szCs w:val="16"/>
              </w:rPr>
              <w:t>7</w:t>
            </w:r>
          </w:p>
        </w:tc>
        <w:tc>
          <w:tcPr>
            <w:tcW w:w="1087" w:type="dxa"/>
          </w:tcPr>
          <w:p w14:paraId="5BC7C0EB" w14:textId="58EB4E18" w:rsidR="000059D8" w:rsidRPr="00696AE3" w:rsidRDefault="0056471A" w:rsidP="00044140">
            <w:pPr>
              <w:pStyle w:val="Bezproreda"/>
              <w:jc w:val="center"/>
              <w:rPr>
                <w:sz w:val="16"/>
                <w:szCs w:val="16"/>
              </w:rPr>
            </w:pPr>
            <w:r>
              <w:rPr>
                <w:sz w:val="16"/>
                <w:szCs w:val="16"/>
              </w:rPr>
              <w:t>0</w:t>
            </w:r>
          </w:p>
        </w:tc>
        <w:tc>
          <w:tcPr>
            <w:tcW w:w="1054" w:type="dxa"/>
          </w:tcPr>
          <w:p w14:paraId="1940CD17" w14:textId="04359A6C" w:rsidR="000059D8" w:rsidRPr="00696AE3" w:rsidRDefault="00945100" w:rsidP="00044140">
            <w:pPr>
              <w:pStyle w:val="Bezproreda"/>
              <w:jc w:val="center"/>
              <w:rPr>
                <w:sz w:val="16"/>
                <w:szCs w:val="16"/>
              </w:rPr>
            </w:pPr>
            <w:r w:rsidRPr="00696AE3">
              <w:rPr>
                <w:sz w:val="16"/>
                <w:szCs w:val="16"/>
              </w:rPr>
              <w:t>0</w:t>
            </w:r>
          </w:p>
        </w:tc>
        <w:tc>
          <w:tcPr>
            <w:tcW w:w="1077" w:type="dxa"/>
          </w:tcPr>
          <w:p w14:paraId="6608BD66" w14:textId="2E3AD2A1" w:rsidR="000059D8" w:rsidRPr="00696AE3" w:rsidRDefault="00945100" w:rsidP="00044140">
            <w:pPr>
              <w:pStyle w:val="Bezproreda"/>
              <w:jc w:val="center"/>
              <w:rPr>
                <w:sz w:val="16"/>
                <w:szCs w:val="16"/>
              </w:rPr>
            </w:pPr>
            <w:r w:rsidRPr="00696AE3">
              <w:rPr>
                <w:sz w:val="16"/>
                <w:szCs w:val="16"/>
              </w:rPr>
              <w:t>0</w:t>
            </w:r>
          </w:p>
        </w:tc>
        <w:tc>
          <w:tcPr>
            <w:tcW w:w="1148" w:type="dxa"/>
          </w:tcPr>
          <w:p w14:paraId="7856EE48" w14:textId="21DD07E9" w:rsidR="000059D8" w:rsidRPr="00696AE3" w:rsidRDefault="00945100" w:rsidP="00044140">
            <w:pPr>
              <w:pStyle w:val="Bezproreda"/>
              <w:jc w:val="center"/>
              <w:rPr>
                <w:sz w:val="16"/>
                <w:szCs w:val="16"/>
              </w:rPr>
            </w:pPr>
            <w:r w:rsidRPr="00696AE3">
              <w:rPr>
                <w:sz w:val="16"/>
                <w:szCs w:val="16"/>
              </w:rPr>
              <w:t>0</w:t>
            </w:r>
          </w:p>
        </w:tc>
        <w:tc>
          <w:tcPr>
            <w:tcW w:w="1076" w:type="dxa"/>
          </w:tcPr>
          <w:p w14:paraId="3A004681" w14:textId="561FE089" w:rsidR="000059D8" w:rsidRPr="00696AE3" w:rsidRDefault="0056471A" w:rsidP="00044140">
            <w:pPr>
              <w:pStyle w:val="Bezproreda"/>
              <w:jc w:val="center"/>
              <w:rPr>
                <w:sz w:val="16"/>
                <w:szCs w:val="16"/>
              </w:rPr>
            </w:pPr>
            <w:r>
              <w:rPr>
                <w:sz w:val="16"/>
                <w:szCs w:val="16"/>
              </w:rPr>
              <w:t>0</w:t>
            </w:r>
          </w:p>
        </w:tc>
        <w:tc>
          <w:tcPr>
            <w:tcW w:w="1215" w:type="dxa"/>
          </w:tcPr>
          <w:p w14:paraId="379D9091" w14:textId="384DC63D" w:rsidR="000059D8" w:rsidRPr="00696AE3" w:rsidRDefault="00696AE3" w:rsidP="00044140">
            <w:pPr>
              <w:pStyle w:val="Bezproreda"/>
              <w:jc w:val="center"/>
              <w:rPr>
                <w:sz w:val="16"/>
                <w:szCs w:val="16"/>
              </w:rPr>
            </w:pPr>
            <w:r w:rsidRPr="00696AE3">
              <w:rPr>
                <w:sz w:val="16"/>
                <w:szCs w:val="16"/>
              </w:rPr>
              <w:t>1.</w:t>
            </w:r>
            <w:r w:rsidR="008E766B">
              <w:rPr>
                <w:sz w:val="16"/>
                <w:szCs w:val="16"/>
              </w:rPr>
              <w:t>547,84</w:t>
            </w:r>
          </w:p>
        </w:tc>
        <w:tc>
          <w:tcPr>
            <w:tcW w:w="1068" w:type="dxa"/>
          </w:tcPr>
          <w:p w14:paraId="32BFCC04" w14:textId="668D624D" w:rsidR="000059D8" w:rsidRPr="00696AE3" w:rsidRDefault="00C56C2D" w:rsidP="00044140">
            <w:pPr>
              <w:pStyle w:val="Bezproreda"/>
              <w:jc w:val="center"/>
              <w:rPr>
                <w:sz w:val="16"/>
                <w:szCs w:val="16"/>
              </w:rPr>
            </w:pPr>
            <w:r>
              <w:rPr>
                <w:sz w:val="16"/>
                <w:szCs w:val="16"/>
              </w:rPr>
              <w:t>1.547,84</w:t>
            </w:r>
          </w:p>
        </w:tc>
      </w:tr>
      <w:tr w:rsidR="008E766B" w14:paraId="4EBB91E8" w14:textId="77777777" w:rsidTr="008E766B">
        <w:tc>
          <w:tcPr>
            <w:tcW w:w="1563" w:type="dxa"/>
          </w:tcPr>
          <w:p w14:paraId="10BF2A45" w14:textId="38542473" w:rsidR="000059D8" w:rsidRPr="00696AE3" w:rsidRDefault="000059D8" w:rsidP="00044140">
            <w:pPr>
              <w:pStyle w:val="Bezproreda"/>
              <w:jc w:val="center"/>
              <w:rPr>
                <w:sz w:val="16"/>
                <w:szCs w:val="16"/>
              </w:rPr>
            </w:pPr>
            <w:r w:rsidRPr="00696AE3">
              <w:rPr>
                <w:sz w:val="16"/>
                <w:szCs w:val="16"/>
              </w:rPr>
              <w:t>4</w:t>
            </w:r>
          </w:p>
        </w:tc>
        <w:tc>
          <w:tcPr>
            <w:tcW w:w="1087" w:type="dxa"/>
          </w:tcPr>
          <w:p w14:paraId="10C55FE1" w14:textId="5D677B25" w:rsidR="000059D8" w:rsidRPr="00696AE3" w:rsidRDefault="008E766B" w:rsidP="00044140">
            <w:pPr>
              <w:pStyle w:val="Bezproreda"/>
              <w:jc w:val="center"/>
              <w:rPr>
                <w:sz w:val="16"/>
                <w:szCs w:val="16"/>
              </w:rPr>
            </w:pPr>
            <w:r>
              <w:rPr>
                <w:sz w:val="16"/>
                <w:szCs w:val="16"/>
              </w:rPr>
              <w:t>471.553,00</w:t>
            </w:r>
          </w:p>
        </w:tc>
        <w:tc>
          <w:tcPr>
            <w:tcW w:w="1054" w:type="dxa"/>
          </w:tcPr>
          <w:p w14:paraId="7EFBF7CD" w14:textId="1091EB27" w:rsidR="000059D8" w:rsidRPr="00696AE3" w:rsidRDefault="008E766B" w:rsidP="00044140">
            <w:pPr>
              <w:pStyle w:val="Bezproreda"/>
              <w:jc w:val="center"/>
              <w:rPr>
                <w:sz w:val="16"/>
                <w:szCs w:val="16"/>
              </w:rPr>
            </w:pPr>
            <w:r>
              <w:rPr>
                <w:sz w:val="16"/>
                <w:szCs w:val="16"/>
              </w:rPr>
              <w:t>3.126,93</w:t>
            </w:r>
          </w:p>
        </w:tc>
        <w:tc>
          <w:tcPr>
            <w:tcW w:w="1077" w:type="dxa"/>
          </w:tcPr>
          <w:p w14:paraId="235E751A" w14:textId="26823F20" w:rsidR="000059D8" w:rsidRPr="00696AE3" w:rsidRDefault="00945100" w:rsidP="00044140">
            <w:pPr>
              <w:pStyle w:val="Bezproreda"/>
              <w:jc w:val="center"/>
              <w:rPr>
                <w:sz w:val="16"/>
                <w:szCs w:val="16"/>
              </w:rPr>
            </w:pPr>
            <w:r w:rsidRPr="00696AE3">
              <w:rPr>
                <w:sz w:val="16"/>
                <w:szCs w:val="16"/>
              </w:rPr>
              <w:t>1</w:t>
            </w:r>
            <w:r w:rsidR="008E766B">
              <w:rPr>
                <w:sz w:val="16"/>
                <w:szCs w:val="16"/>
              </w:rPr>
              <w:t>39,98</w:t>
            </w:r>
          </w:p>
        </w:tc>
        <w:tc>
          <w:tcPr>
            <w:tcW w:w="1148" w:type="dxa"/>
          </w:tcPr>
          <w:p w14:paraId="79BF2335" w14:textId="4506C5A8" w:rsidR="000059D8" w:rsidRPr="00696AE3" w:rsidRDefault="008E766B" w:rsidP="00044140">
            <w:pPr>
              <w:pStyle w:val="Bezproreda"/>
              <w:jc w:val="center"/>
              <w:rPr>
                <w:sz w:val="16"/>
                <w:szCs w:val="16"/>
              </w:rPr>
            </w:pPr>
            <w:r>
              <w:rPr>
                <w:sz w:val="16"/>
                <w:szCs w:val="16"/>
              </w:rPr>
              <w:t>168.430,40</w:t>
            </w:r>
          </w:p>
        </w:tc>
        <w:tc>
          <w:tcPr>
            <w:tcW w:w="1076" w:type="dxa"/>
          </w:tcPr>
          <w:p w14:paraId="34B6B45F" w14:textId="6D6B33D0" w:rsidR="000059D8" w:rsidRPr="00696AE3" w:rsidRDefault="008E766B" w:rsidP="00044140">
            <w:pPr>
              <w:pStyle w:val="Bezproreda"/>
              <w:jc w:val="center"/>
              <w:rPr>
                <w:sz w:val="16"/>
                <w:szCs w:val="16"/>
              </w:rPr>
            </w:pPr>
            <w:r>
              <w:rPr>
                <w:sz w:val="16"/>
                <w:szCs w:val="16"/>
              </w:rPr>
              <w:t>8.606,00</w:t>
            </w:r>
          </w:p>
        </w:tc>
        <w:tc>
          <w:tcPr>
            <w:tcW w:w="1215" w:type="dxa"/>
          </w:tcPr>
          <w:p w14:paraId="60326DC3" w14:textId="6FD07340" w:rsidR="000059D8" w:rsidRPr="00696AE3" w:rsidRDefault="008E766B" w:rsidP="00044140">
            <w:pPr>
              <w:pStyle w:val="Bezproreda"/>
              <w:jc w:val="center"/>
              <w:rPr>
                <w:sz w:val="16"/>
                <w:szCs w:val="16"/>
              </w:rPr>
            </w:pPr>
            <w:r>
              <w:rPr>
                <w:sz w:val="16"/>
                <w:szCs w:val="16"/>
              </w:rPr>
              <w:t>2.024,68</w:t>
            </w:r>
          </w:p>
        </w:tc>
        <w:tc>
          <w:tcPr>
            <w:tcW w:w="1068" w:type="dxa"/>
          </w:tcPr>
          <w:p w14:paraId="09A9B619" w14:textId="0C8A36C6" w:rsidR="000059D8" w:rsidRPr="00696AE3" w:rsidRDefault="00C56C2D" w:rsidP="00044140">
            <w:pPr>
              <w:pStyle w:val="Bezproreda"/>
              <w:jc w:val="center"/>
              <w:rPr>
                <w:sz w:val="16"/>
                <w:szCs w:val="16"/>
              </w:rPr>
            </w:pPr>
            <w:r>
              <w:rPr>
                <w:sz w:val="16"/>
                <w:szCs w:val="16"/>
              </w:rPr>
              <w:t>653.880,99</w:t>
            </w:r>
          </w:p>
        </w:tc>
      </w:tr>
      <w:tr w:rsidR="008E766B" w14:paraId="0205EA4D" w14:textId="77777777" w:rsidTr="0000066A">
        <w:tc>
          <w:tcPr>
            <w:tcW w:w="1563" w:type="dxa"/>
            <w:tcBorders>
              <w:bottom w:val="single" w:sz="4" w:space="0" w:color="auto"/>
            </w:tcBorders>
          </w:tcPr>
          <w:p w14:paraId="0CD94D4C" w14:textId="4C4A3827" w:rsidR="000059D8" w:rsidRPr="00696AE3" w:rsidRDefault="000059D8" w:rsidP="00044140">
            <w:pPr>
              <w:pStyle w:val="Bezproreda"/>
              <w:jc w:val="center"/>
              <w:rPr>
                <w:sz w:val="16"/>
                <w:szCs w:val="16"/>
              </w:rPr>
            </w:pPr>
            <w:r w:rsidRPr="00696AE3">
              <w:rPr>
                <w:sz w:val="16"/>
                <w:szCs w:val="16"/>
              </w:rPr>
              <w:t xml:space="preserve">Višak/manjak  </w:t>
            </w:r>
            <w:r w:rsidR="00044140">
              <w:rPr>
                <w:sz w:val="16"/>
                <w:szCs w:val="16"/>
              </w:rPr>
              <w:t xml:space="preserve">od </w:t>
            </w:r>
            <w:r w:rsidRPr="00696AE3">
              <w:rPr>
                <w:sz w:val="16"/>
                <w:szCs w:val="16"/>
              </w:rPr>
              <w:t>nefina</w:t>
            </w:r>
            <w:r w:rsidR="008F2FB0">
              <w:rPr>
                <w:sz w:val="16"/>
                <w:szCs w:val="16"/>
              </w:rPr>
              <w:t>n</w:t>
            </w:r>
            <w:r w:rsidRPr="00696AE3">
              <w:rPr>
                <w:sz w:val="16"/>
                <w:szCs w:val="16"/>
              </w:rPr>
              <w:t>c</w:t>
            </w:r>
            <w:r w:rsidR="00044140">
              <w:rPr>
                <w:sz w:val="16"/>
                <w:szCs w:val="16"/>
              </w:rPr>
              <w:t xml:space="preserve">ijske </w:t>
            </w:r>
            <w:r w:rsidRPr="00696AE3">
              <w:rPr>
                <w:sz w:val="16"/>
                <w:szCs w:val="16"/>
              </w:rPr>
              <w:t>imovine</w:t>
            </w:r>
          </w:p>
        </w:tc>
        <w:tc>
          <w:tcPr>
            <w:tcW w:w="1087" w:type="dxa"/>
            <w:tcBorders>
              <w:bottom w:val="single" w:sz="4" w:space="0" w:color="auto"/>
            </w:tcBorders>
          </w:tcPr>
          <w:p w14:paraId="07771230" w14:textId="621640F1" w:rsidR="000059D8" w:rsidRPr="00696AE3" w:rsidRDefault="00696AE3" w:rsidP="00044140">
            <w:pPr>
              <w:pStyle w:val="Bezproreda"/>
              <w:jc w:val="center"/>
              <w:rPr>
                <w:sz w:val="16"/>
                <w:szCs w:val="16"/>
              </w:rPr>
            </w:pPr>
            <w:r w:rsidRPr="00696AE3">
              <w:rPr>
                <w:sz w:val="16"/>
                <w:szCs w:val="16"/>
              </w:rPr>
              <w:t>-</w:t>
            </w:r>
            <w:r w:rsidR="008E766B">
              <w:rPr>
                <w:sz w:val="16"/>
                <w:szCs w:val="16"/>
              </w:rPr>
              <w:t>471.553,00</w:t>
            </w:r>
          </w:p>
        </w:tc>
        <w:tc>
          <w:tcPr>
            <w:tcW w:w="1054" w:type="dxa"/>
            <w:tcBorders>
              <w:bottom w:val="single" w:sz="4" w:space="0" w:color="auto"/>
            </w:tcBorders>
          </w:tcPr>
          <w:p w14:paraId="7E016A0A" w14:textId="5CF2FC3D" w:rsidR="000059D8" w:rsidRPr="00696AE3" w:rsidRDefault="00696AE3" w:rsidP="00044140">
            <w:pPr>
              <w:pStyle w:val="Bezproreda"/>
              <w:jc w:val="center"/>
              <w:rPr>
                <w:sz w:val="16"/>
                <w:szCs w:val="16"/>
              </w:rPr>
            </w:pPr>
            <w:r w:rsidRPr="00696AE3">
              <w:rPr>
                <w:sz w:val="16"/>
                <w:szCs w:val="16"/>
              </w:rPr>
              <w:t>-</w:t>
            </w:r>
            <w:r w:rsidR="008E766B">
              <w:rPr>
                <w:sz w:val="16"/>
                <w:szCs w:val="16"/>
              </w:rPr>
              <w:t>3126,93</w:t>
            </w:r>
          </w:p>
        </w:tc>
        <w:tc>
          <w:tcPr>
            <w:tcW w:w="1077" w:type="dxa"/>
            <w:tcBorders>
              <w:bottom w:val="single" w:sz="4" w:space="0" w:color="auto"/>
            </w:tcBorders>
          </w:tcPr>
          <w:p w14:paraId="174E0117" w14:textId="3BC43880" w:rsidR="000059D8" w:rsidRPr="00696AE3" w:rsidRDefault="00696AE3" w:rsidP="00044140">
            <w:pPr>
              <w:pStyle w:val="Bezproreda"/>
              <w:jc w:val="center"/>
              <w:rPr>
                <w:sz w:val="16"/>
                <w:szCs w:val="16"/>
              </w:rPr>
            </w:pPr>
            <w:r w:rsidRPr="00696AE3">
              <w:rPr>
                <w:sz w:val="16"/>
                <w:szCs w:val="16"/>
              </w:rPr>
              <w:t>-1</w:t>
            </w:r>
            <w:r w:rsidR="008E766B">
              <w:rPr>
                <w:sz w:val="16"/>
                <w:szCs w:val="16"/>
              </w:rPr>
              <w:t>39,98</w:t>
            </w:r>
          </w:p>
        </w:tc>
        <w:tc>
          <w:tcPr>
            <w:tcW w:w="1148" w:type="dxa"/>
            <w:tcBorders>
              <w:bottom w:val="single" w:sz="4" w:space="0" w:color="auto"/>
            </w:tcBorders>
          </w:tcPr>
          <w:p w14:paraId="268C81C9" w14:textId="05B9D0CE" w:rsidR="000059D8" w:rsidRPr="00696AE3" w:rsidRDefault="00696AE3" w:rsidP="00044140">
            <w:pPr>
              <w:pStyle w:val="Bezproreda"/>
              <w:jc w:val="center"/>
              <w:rPr>
                <w:sz w:val="16"/>
                <w:szCs w:val="16"/>
              </w:rPr>
            </w:pPr>
            <w:r w:rsidRPr="00696AE3">
              <w:rPr>
                <w:sz w:val="16"/>
                <w:szCs w:val="16"/>
              </w:rPr>
              <w:t>-</w:t>
            </w:r>
            <w:r w:rsidR="008E766B">
              <w:rPr>
                <w:sz w:val="16"/>
                <w:szCs w:val="16"/>
              </w:rPr>
              <w:t>168.430,40</w:t>
            </w:r>
          </w:p>
        </w:tc>
        <w:tc>
          <w:tcPr>
            <w:tcW w:w="1076" w:type="dxa"/>
            <w:tcBorders>
              <w:bottom w:val="single" w:sz="4" w:space="0" w:color="auto"/>
            </w:tcBorders>
          </w:tcPr>
          <w:p w14:paraId="775BB8DC" w14:textId="56ADAE90" w:rsidR="000059D8" w:rsidRPr="00696AE3" w:rsidRDefault="00696AE3" w:rsidP="00044140">
            <w:pPr>
              <w:pStyle w:val="Bezproreda"/>
              <w:jc w:val="center"/>
              <w:rPr>
                <w:sz w:val="16"/>
                <w:szCs w:val="16"/>
              </w:rPr>
            </w:pPr>
            <w:r w:rsidRPr="00696AE3">
              <w:rPr>
                <w:sz w:val="16"/>
                <w:szCs w:val="16"/>
              </w:rPr>
              <w:t>-</w:t>
            </w:r>
            <w:r w:rsidR="008E766B">
              <w:rPr>
                <w:sz w:val="16"/>
                <w:szCs w:val="16"/>
              </w:rPr>
              <w:t>8.606,00</w:t>
            </w:r>
          </w:p>
        </w:tc>
        <w:tc>
          <w:tcPr>
            <w:tcW w:w="1215" w:type="dxa"/>
            <w:tcBorders>
              <w:bottom w:val="single" w:sz="4" w:space="0" w:color="auto"/>
            </w:tcBorders>
          </w:tcPr>
          <w:p w14:paraId="14CFBCA5" w14:textId="339D1903" w:rsidR="000059D8" w:rsidRPr="00696AE3" w:rsidRDefault="008E766B" w:rsidP="00044140">
            <w:pPr>
              <w:pStyle w:val="Bezproreda"/>
              <w:jc w:val="center"/>
              <w:rPr>
                <w:sz w:val="16"/>
                <w:szCs w:val="16"/>
              </w:rPr>
            </w:pPr>
            <w:r>
              <w:rPr>
                <w:sz w:val="16"/>
                <w:szCs w:val="16"/>
              </w:rPr>
              <w:t>-476,84</w:t>
            </w:r>
          </w:p>
        </w:tc>
        <w:tc>
          <w:tcPr>
            <w:tcW w:w="1068" w:type="dxa"/>
            <w:tcBorders>
              <w:bottom w:val="single" w:sz="4" w:space="0" w:color="auto"/>
            </w:tcBorders>
          </w:tcPr>
          <w:p w14:paraId="0084CF00" w14:textId="2BF945D4" w:rsidR="000059D8" w:rsidRPr="00696AE3" w:rsidRDefault="00C56C2D" w:rsidP="00044140">
            <w:pPr>
              <w:pStyle w:val="Bezproreda"/>
              <w:jc w:val="center"/>
              <w:rPr>
                <w:sz w:val="16"/>
                <w:szCs w:val="16"/>
              </w:rPr>
            </w:pPr>
            <w:r>
              <w:rPr>
                <w:sz w:val="16"/>
                <w:szCs w:val="16"/>
              </w:rPr>
              <w:t>-652.333,15</w:t>
            </w:r>
          </w:p>
        </w:tc>
      </w:tr>
      <w:tr w:rsidR="008E766B" w14:paraId="22EE2AD9" w14:textId="77777777" w:rsidTr="0000066A">
        <w:tc>
          <w:tcPr>
            <w:tcW w:w="1563" w:type="dxa"/>
            <w:tcBorders>
              <w:bottom w:val="single" w:sz="4" w:space="0" w:color="auto"/>
            </w:tcBorders>
          </w:tcPr>
          <w:p w14:paraId="37FA4166" w14:textId="62EAF74B" w:rsidR="008E766B" w:rsidRPr="00044140" w:rsidRDefault="008E766B" w:rsidP="008E766B">
            <w:pPr>
              <w:pStyle w:val="Bezproreda"/>
              <w:jc w:val="center"/>
              <w:rPr>
                <w:sz w:val="18"/>
                <w:szCs w:val="18"/>
              </w:rPr>
            </w:pPr>
            <w:r>
              <w:t>Rezultat 2021.</w:t>
            </w:r>
          </w:p>
        </w:tc>
        <w:tc>
          <w:tcPr>
            <w:tcW w:w="1087" w:type="dxa"/>
            <w:tcBorders>
              <w:bottom w:val="single" w:sz="4" w:space="0" w:color="auto"/>
            </w:tcBorders>
          </w:tcPr>
          <w:p w14:paraId="16ABB897" w14:textId="228C2115" w:rsidR="008E766B" w:rsidRPr="00696AE3" w:rsidRDefault="008E766B" w:rsidP="008E766B">
            <w:pPr>
              <w:pStyle w:val="Bezproreda"/>
              <w:jc w:val="center"/>
              <w:rPr>
                <w:sz w:val="18"/>
                <w:szCs w:val="18"/>
              </w:rPr>
            </w:pPr>
            <w:r>
              <w:rPr>
                <w:sz w:val="18"/>
                <w:szCs w:val="18"/>
              </w:rPr>
              <w:t>218,41</w:t>
            </w:r>
          </w:p>
        </w:tc>
        <w:tc>
          <w:tcPr>
            <w:tcW w:w="1054" w:type="dxa"/>
            <w:tcBorders>
              <w:bottom w:val="single" w:sz="4" w:space="0" w:color="auto"/>
            </w:tcBorders>
          </w:tcPr>
          <w:p w14:paraId="54D52B82" w14:textId="74DDF439" w:rsidR="008E766B" w:rsidRPr="00696AE3" w:rsidRDefault="008E766B" w:rsidP="008E766B">
            <w:pPr>
              <w:pStyle w:val="Bezproreda"/>
              <w:jc w:val="center"/>
              <w:rPr>
                <w:sz w:val="18"/>
                <w:szCs w:val="18"/>
              </w:rPr>
            </w:pPr>
            <w:r>
              <w:rPr>
                <w:sz w:val="18"/>
                <w:szCs w:val="18"/>
              </w:rPr>
              <w:t>630,48</w:t>
            </w:r>
          </w:p>
        </w:tc>
        <w:tc>
          <w:tcPr>
            <w:tcW w:w="1077" w:type="dxa"/>
            <w:tcBorders>
              <w:bottom w:val="single" w:sz="4" w:space="0" w:color="auto"/>
            </w:tcBorders>
          </w:tcPr>
          <w:p w14:paraId="10F2EBFA" w14:textId="42C141AA" w:rsidR="008E766B" w:rsidRPr="00696AE3" w:rsidRDefault="008E766B" w:rsidP="008E766B">
            <w:pPr>
              <w:pStyle w:val="Bezproreda"/>
              <w:jc w:val="center"/>
              <w:rPr>
                <w:sz w:val="18"/>
                <w:szCs w:val="18"/>
              </w:rPr>
            </w:pPr>
            <w:r>
              <w:rPr>
                <w:sz w:val="18"/>
                <w:szCs w:val="18"/>
              </w:rPr>
              <w:t>25.471,64</w:t>
            </w:r>
          </w:p>
        </w:tc>
        <w:tc>
          <w:tcPr>
            <w:tcW w:w="1148" w:type="dxa"/>
            <w:tcBorders>
              <w:bottom w:val="single" w:sz="4" w:space="0" w:color="auto"/>
            </w:tcBorders>
          </w:tcPr>
          <w:p w14:paraId="52538FD0" w14:textId="4ECADF1E" w:rsidR="008E766B" w:rsidRPr="00696AE3" w:rsidRDefault="008E766B" w:rsidP="008E766B">
            <w:pPr>
              <w:pStyle w:val="Bezproreda"/>
              <w:jc w:val="center"/>
              <w:rPr>
                <w:sz w:val="18"/>
                <w:szCs w:val="18"/>
              </w:rPr>
            </w:pPr>
            <w:r>
              <w:rPr>
                <w:sz w:val="18"/>
                <w:szCs w:val="18"/>
              </w:rPr>
              <w:t>-8.772,58</w:t>
            </w:r>
          </w:p>
        </w:tc>
        <w:tc>
          <w:tcPr>
            <w:tcW w:w="1076" w:type="dxa"/>
            <w:tcBorders>
              <w:bottom w:val="single" w:sz="4" w:space="0" w:color="auto"/>
            </w:tcBorders>
          </w:tcPr>
          <w:p w14:paraId="6AC10F07" w14:textId="57DE73A4" w:rsidR="008E766B" w:rsidRPr="00696AE3" w:rsidRDefault="008E766B" w:rsidP="008E766B">
            <w:pPr>
              <w:pStyle w:val="Bezproreda"/>
              <w:jc w:val="center"/>
              <w:rPr>
                <w:sz w:val="18"/>
                <w:szCs w:val="18"/>
              </w:rPr>
            </w:pPr>
            <w:r>
              <w:rPr>
                <w:sz w:val="18"/>
                <w:szCs w:val="18"/>
              </w:rPr>
              <w:t>0,00</w:t>
            </w:r>
          </w:p>
        </w:tc>
        <w:tc>
          <w:tcPr>
            <w:tcW w:w="1215" w:type="dxa"/>
            <w:tcBorders>
              <w:bottom w:val="single" w:sz="4" w:space="0" w:color="auto"/>
            </w:tcBorders>
          </w:tcPr>
          <w:p w14:paraId="0B6A7209" w14:textId="0C074115" w:rsidR="008E766B" w:rsidRPr="00696AE3" w:rsidRDefault="008E766B" w:rsidP="008E766B">
            <w:pPr>
              <w:pStyle w:val="Bezproreda"/>
              <w:jc w:val="center"/>
              <w:rPr>
                <w:sz w:val="18"/>
                <w:szCs w:val="18"/>
              </w:rPr>
            </w:pPr>
            <w:r>
              <w:rPr>
                <w:sz w:val="18"/>
                <w:szCs w:val="18"/>
              </w:rPr>
              <w:t>0,00</w:t>
            </w:r>
          </w:p>
        </w:tc>
        <w:tc>
          <w:tcPr>
            <w:tcW w:w="1068" w:type="dxa"/>
            <w:tcBorders>
              <w:bottom w:val="single" w:sz="4" w:space="0" w:color="auto"/>
            </w:tcBorders>
          </w:tcPr>
          <w:p w14:paraId="0DA58BBB" w14:textId="35FD3FC6" w:rsidR="008E766B" w:rsidRPr="00696AE3" w:rsidRDefault="008E766B" w:rsidP="008E766B">
            <w:pPr>
              <w:pStyle w:val="Bezproreda"/>
              <w:jc w:val="center"/>
              <w:rPr>
                <w:sz w:val="18"/>
                <w:szCs w:val="18"/>
              </w:rPr>
            </w:pPr>
            <w:r>
              <w:rPr>
                <w:sz w:val="18"/>
                <w:szCs w:val="18"/>
              </w:rPr>
              <w:t>17.547,95</w:t>
            </w:r>
          </w:p>
        </w:tc>
      </w:tr>
      <w:tr w:rsidR="0000066A" w14:paraId="22A69E86" w14:textId="77777777" w:rsidTr="0000066A">
        <w:tc>
          <w:tcPr>
            <w:tcW w:w="1563" w:type="dxa"/>
            <w:tcBorders>
              <w:top w:val="single" w:sz="4" w:space="0" w:color="auto"/>
              <w:left w:val="nil"/>
              <w:bottom w:val="nil"/>
              <w:right w:val="nil"/>
            </w:tcBorders>
          </w:tcPr>
          <w:p w14:paraId="52041C1F" w14:textId="25C0D0AF" w:rsidR="0000066A" w:rsidRDefault="0000066A" w:rsidP="0000066A">
            <w:pPr>
              <w:pStyle w:val="Bezproreda"/>
              <w:jc w:val="center"/>
            </w:pPr>
          </w:p>
        </w:tc>
        <w:tc>
          <w:tcPr>
            <w:tcW w:w="1087" w:type="dxa"/>
            <w:tcBorders>
              <w:top w:val="single" w:sz="4" w:space="0" w:color="auto"/>
              <w:left w:val="nil"/>
              <w:bottom w:val="nil"/>
              <w:right w:val="nil"/>
            </w:tcBorders>
          </w:tcPr>
          <w:p w14:paraId="02B7BFDC" w14:textId="5653B7A0" w:rsidR="0000066A" w:rsidRPr="00696AE3" w:rsidRDefault="0000066A" w:rsidP="0000066A">
            <w:pPr>
              <w:pStyle w:val="Bezproreda"/>
              <w:jc w:val="center"/>
              <w:rPr>
                <w:sz w:val="18"/>
                <w:szCs w:val="18"/>
              </w:rPr>
            </w:pPr>
          </w:p>
        </w:tc>
        <w:tc>
          <w:tcPr>
            <w:tcW w:w="1054" w:type="dxa"/>
            <w:tcBorders>
              <w:top w:val="single" w:sz="4" w:space="0" w:color="auto"/>
              <w:left w:val="nil"/>
              <w:bottom w:val="nil"/>
              <w:right w:val="nil"/>
            </w:tcBorders>
          </w:tcPr>
          <w:p w14:paraId="5E48124B" w14:textId="758DA72F" w:rsidR="0000066A" w:rsidRPr="00696AE3" w:rsidRDefault="0000066A" w:rsidP="0000066A">
            <w:pPr>
              <w:pStyle w:val="Bezproreda"/>
              <w:jc w:val="center"/>
              <w:rPr>
                <w:sz w:val="18"/>
                <w:szCs w:val="18"/>
              </w:rPr>
            </w:pPr>
          </w:p>
        </w:tc>
        <w:tc>
          <w:tcPr>
            <w:tcW w:w="1077" w:type="dxa"/>
            <w:tcBorders>
              <w:top w:val="single" w:sz="4" w:space="0" w:color="auto"/>
              <w:left w:val="nil"/>
              <w:bottom w:val="nil"/>
              <w:right w:val="nil"/>
            </w:tcBorders>
          </w:tcPr>
          <w:p w14:paraId="0DF2AA02" w14:textId="7367F0CC" w:rsidR="0000066A" w:rsidRPr="00696AE3" w:rsidRDefault="0000066A" w:rsidP="0000066A">
            <w:pPr>
              <w:pStyle w:val="Bezproreda"/>
              <w:jc w:val="center"/>
              <w:rPr>
                <w:sz w:val="18"/>
                <w:szCs w:val="18"/>
              </w:rPr>
            </w:pPr>
          </w:p>
        </w:tc>
        <w:tc>
          <w:tcPr>
            <w:tcW w:w="1148" w:type="dxa"/>
            <w:tcBorders>
              <w:top w:val="single" w:sz="4" w:space="0" w:color="auto"/>
              <w:left w:val="nil"/>
              <w:bottom w:val="nil"/>
              <w:right w:val="nil"/>
            </w:tcBorders>
          </w:tcPr>
          <w:p w14:paraId="3170C247" w14:textId="61C23B40" w:rsidR="0000066A" w:rsidRPr="00696AE3" w:rsidRDefault="0000066A" w:rsidP="0000066A">
            <w:pPr>
              <w:pStyle w:val="Bezproreda"/>
              <w:jc w:val="center"/>
              <w:rPr>
                <w:sz w:val="18"/>
                <w:szCs w:val="18"/>
              </w:rPr>
            </w:pPr>
          </w:p>
        </w:tc>
        <w:tc>
          <w:tcPr>
            <w:tcW w:w="1076" w:type="dxa"/>
            <w:tcBorders>
              <w:top w:val="single" w:sz="4" w:space="0" w:color="auto"/>
              <w:left w:val="nil"/>
              <w:bottom w:val="nil"/>
              <w:right w:val="single" w:sz="4" w:space="0" w:color="auto"/>
            </w:tcBorders>
          </w:tcPr>
          <w:p w14:paraId="4DD9F66F" w14:textId="035B546B" w:rsidR="0000066A" w:rsidRPr="00696AE3" w:rsidRDefault="0000066A" w:rsidP="0000066A">
            <w:pPr>
              <w:pStyle w:val="Bezproreda"/>
              <w:jc w:val="center"/>
              <w:rPr>
                <w:sz w:val="18"/>
                <w:szCs w:val="18"/>
              </w:rPr>
            </w:pPr>
          </w:p>
        </w:tc>
        <w:tc>
          <w:tcPr>
            <w:tcW w:w="1215" w:type="dxa"/>
            <w:tcBorders>
              <w:top w:val="single" w:sz="4" w:space="0" w:color="auto"/>
              <w:left w:val="single" w:sz="4" w:space="0" w:color="auto"/>
              <w:bottom w:val="single" w:sz="4" w:space="0" w:color="auto"/>
              <w:right w:val="single" w:sz="4" w:space="0" w:color="auto"/>
            </w:tcBorders>
          </w:tcPr>
          <w:p w14:paraId="3DCFD598" w14:textId="7A8560A2" w:rsidR="0000066A" w:rsidRPr="0000066A" w:rsidRDefault="0000066A" w:rsidP="0000066A">
            <w:pPr>
              <w:pStyle w:val="Bezproreda"/>
              <w:jc w:val="center"/>
              <w:rPr>
                <w:sz w:val="18"/>
                <w:szCs w:val="18"/>
              </w:rPr>
            </w:pPr>
            <w:r w:rsidRPr="0000066A">
              <w:rPr>
                <w:sz w:val="18"/>
                <w:szCs w:val="18"/>
              </w:rPr>
              <w:t>Preneseni manjak 2020.</w:t>
            </w:r>
          </w:p>
        </w:tc>
        <w:tc>
          <w:tcPr>
            <w:tcW w:w="1068" w:type="dxa"/>
            <w:tcBorders>
              <w:top w:val="single" w:sz="4" w:space="0" w:color="auto"/>
              <w:left w:val="single" w:sz="4" w:space="0" w:color="auto"/>
              <w:bottom w:val="single" w:sz="4" w:space="0" w:color="auto"/>
            </w:tcBorders>
          </w:tcPr>
          <w:p w14:paraId="6941F6D1" w14:textId="298E55BE" w:rsidR="0000066A" w:rsidRDefault="0000066A" w:rsidP="0000066A">
            <w:pPr>
              <w:pStyle w:val="Bezproreda"/>
              <w:jc w:val="center"/>
              <w:rPr>
                <w:sz w:val="18"/>
                <w:szCs w:val="18"/>
              </w:rPr>
            </w:pPr>
            <w:r>
              <w:rPr>
                <w:sz w:val="18"/>
                <w:szCs w:val="18"/>
              </w:rPr>
              <w:t>-17.648,27</w:t>
            </w:r>
          </w:p>
        </w:tc>
      </w:tr>
      <w:tr w:rsidR="0000066A" w14:paraId="62F18FC0" w14:textId="77777777" w:rsidTr="0000066A">
        <w:tc>
          <w:tcPr>
            <w:tcW w:w="1563" w:type="dxa"/>
            <w:tcBorders>
              <w:top w:val="nil"/>
              <w:left w:val="nil"/>
              <w:bottom w:val="nil"/>
              <w:right w:val="nil"/>
            </w:tcBorders>
          </w:tcPr>
          <w:p w14:paraId="5EFA6672" w14:textId="7112A0DD" w:rsidR="0000066A" w:rsidRDefault="0000066A" w:rsidP="0000066A">
            <w:pPr>
              <w:pStyle w:val="Bezproreda"/>
              <w:jc w:val="center"/>
            </w:pPr>
          </w:p>
        </w:tc>
        <w:tc>
          <w:tcPr>
            <w:tcW w:w="1087" w:type="dxa"/>
            <w:tcBorders>
              <w:top w:val="nil"/>
              <w:left w:val="nil"/>
              <w:bottom w:val="nil"/>
              <w:right w:val="nil"/>
            </w:tcBorders>
          </w:tcPr>
          <w:p w14:paraId="47390951" w14:textId="77777777" w:rsidR="0000066A" w:rsidRDefault="0000066A" w:rsidP="0000066A">
            <w:pPr>
              <w:pStyle w:val="Bezproreda"/>
              <w:jc w:val="center"/>
              <w:rPr>
                <w:sz w:val="18"/>
                <w:szCs w:val="18"/>
              </w:rPr>
            </w:pPr>
          </w:p>
        </w:tc>
        <w:tc>
          <w:tcPr>
            <w:tcW w:w="1054" w:type="dxa"/>
            <w:tcBorders>
              <w:top w:val="nil"/>
              <w:left w:val="nil"/>
              <w:bottom w:val="nil"/>
              <w:right w:val="nil"/>
            </w:tcBorders>
          </w:tcPr>
          <w:p w14:paraId="722751D9" w14:textId="77777777" w:rsidR="0000066A" w:rsidRDefault="0000066A" w:rsidP="0000066A">
            <w:pPr>
              <w:pStyle w:val="Bezproreda"/>
              <w:jc w:val="center"/>
              <w:rPr>
                <w:sz w:val="18"/>
                <w:szCs w:val="18"/>
              </w:rPr>
            </w:pPr>
          </w:p>
        </w:tc>
        <w:tc>
          <w:tcPr>
            <w:tcW w:w="1077" w:type="dxa"/>
            <w:tcBorders>
              <w:top w:val="nil"/>
              <w:left w:val="nil"/>
              <w:bottom w:val="nil"/>
              <w:right w:val="nil"/>
            </w:tcBorders>
          </w:tcPr>
          <w:p w14:paraId="697BE179" w14:textId="77777777" w:rsidR="0000066A" w:rsidRDefault="0000066A" w:rsidP="0000066A">
            <w:pPr>
              <w:pStyle w:val="Bezproreda"/>
              <w:jc w:val="center"/>
              <w:rPr>
                <w:sz w:val="18"/>
                <w:szCs w:val="18"/>
              </w:rPr>
            </w:pPr>
          </w:p>
        </w:tc>
        <w:tc>
          <w:tcPr>
            <w:tcW w:w="1148" w:type="dxa"/>
            <w:tcBorders>
              <w:top w:val="nil"/>
              <w:left w:val="nil"/>
              <w:bottom w:val="nil"/>
              <w:right w:val="nil"/>
            </w:tcBorders>
          </w:tcPr>
          <w:p w14:paraId="5085D1AC" w14:textId="77777777" w:rsidR="0000066A" w:rsidRDefault="0000066A" w:rsidP="0000066A">
            <w:pPr>
              <w:pStyle w:val="Bezproreda"/>
              <w:jc w:val="center"/>
              <w:rPr>
                <w:sz w:val="18"/>
                <w:szCs w:val="18"/>
              </w:rPr>
            </w:pPr>
          </w:p>
        </w:tc>
        <w:tc>
          <w:tcPr>
            <w:tcW w:w="1076" w:type="dxa"/>
            <w:tcBorders>
              <w:top w:val="nil"/>
              <w:left w:val="nil"/>
              <w:bottom w:val="nil"/>
              <w:right w:val="single" w:sz="4" w:space="0" w:color="auto"/>
            </w:tcBorders>
          </w:tcPr>
          <w:p w14:paraId="38C990D9" w14:textId="7A8A396B" w:rsidR="0000066A" w:rsidRDefault="0000066A" w:rsidP="0000066A">
            <w:pPr>
              <w:pStyle w:val="Bezproreda"/>
              <w:jc w:val="center"/>
              <w:rPr>
                <w:sz w:val="18"/>
                <w:szCs w:val="18"/>
              </w:rPr>
            </w:pPr>
          </w:p>
        </w:tc>
        <w:tc>
          <w:tcPr>
            <w:tcW w:w="1215" w:type="dxa"/>
            <w:tcBorders>
              <w:top w:val="single" w:sz="4" w:space="0" w:color="auto"/>
              <w:left w:val="single" w:sz="4" w:space="0" w:color="auto"/>
              <w:bottom w:val="single" w:sz="4" w:space="0" w:color="auto"/>
              <w:right w:val="single" w:sz="4" w:space="0" w:color="auto"/>
            </w:tcBorders>
          </w:tcPr>
          <w:p w14:paraId="27C694BF" w14:textId="63754ABB" w:rsidR="0000066A" w:rsidRPr="0000066A" w:rsidRDefault="0000066A" w:rsidP="0000066A">
            <w:pPr>
              <w:pStyle w:val="Bezproreda"/>
              <w:jc w:val="center"/>
              <w:rPr>
                <w:sz w:val="18"/>
                <w:szCs w:val="18"/>
              </w:rPr>
            </w:pPr>
            <w:r w:rsidRPr="0000066A">
              <w:rPr>
                <w:sz w:val="18"/>
                <w:szCs w:val="18"/>
              </w:rPr>
              <w:t>Rezultat poslovanja</w:t>
            </w:r>
          </w:p>
        </w:tc>
        <w:tc>
          <w:tcPr>
            <w:tcW w:w="1068" w:type="dxa"/>
            <w:tcBorders>
              <w:top w:val="single" w:sz="4" w:space="0" w:color="auto"/>
              <w:left w:val="single" w:sz="4" w:space="0" w:color="auto"/>
              <w:bottom w:val="single" w:sz="4" w:space="0" w:color="auto"/>
            </w:tcBorders>
          </w:tcPr>
          <w:p w14:paraId="08453AE8" w14:textId="2EFFB7B1" w:rsidR="0000066A" w:rsidRDefault="0000066A" w:rsidP="0000066A">
            <w:pPr>
              <w:pStyle w:val="Bezproreda"/>
              <w:jc w:val="center"/>
              <w:rPr>
                <w:sz w:val="18"/>
                <w:szCs w:val="18"/>
              </w:rPr>
            </w:pPr>
            <w:r>
              <w:rPr>
                <w:sz w:val="18"/>
                <w:szCs w:val="18"/>
              </w:rPr>
              <w:t>-100,32</w:t>
            </w:r>
          </w:p>
        </w:tc>
      </w:tr>
    </w:tbl>
    <w:p w14:paraId="19008EDE" w14:textId="77777777" w:rsidR="000059D8" w:rsidRDefault="000059D8" w:rsidP="00860251">
      <w:pPr>
        <w:pStyle w:val="Bezproreda"/>
      </w:pPr>
    </w:p>
    <w:p w14:paraId="40E1E18C" w14:textId="330EEBA6" w:rsidR="006F4328" w:rsidRDefault="006F4328" w:rsidP="0061688B">
      <w:pPr>
        <w:pStyle w:val="Bezproreda"/>
      </w:pPr>
      <w:r>
        <w:t xml:space="preserve">Ukupno ostvareni rezultat poslovanja je manjak u iznosu </w:t>
      </w:r>
      <w:r w:rsidR="008E766B">
        <w:t>-100,32</w:t>
      </w:r>
      <w:r>
        <w:t xml:space="preserve"> kuna.</w:t>
      </w:r>
    </w:p>
    <w:p w14:paraId="5E731C37" w14:textId="37EAAC8E" w:rsidR="0047790C" w:rsidRDefault="0047790C" w:rsidP="0061688B">
      <w:pPr>
        <w:pStyle w:val="Bezproreda"/>
      </w:pPr>
    </w:p>
    <w:p w14:paraId="40EA90C3" w14:textId="6E48A21A" w:rsidR="0047790C" w:rsidRDefault="0047790C" w:rsidP="0061688B">
      <w:pPr>
        <w:pStyle w:val="Bezproreda"/>
      </w:pPr>
      <w:r>
        <w:t>Preneseni manjak poslovanja iz 2020. iznosio je 25.439,27 kn, ali je tijekom 2021. god. Turistička agencija izvršila povrat sredstava</w:t>
      </w:r>
      <w:r w:rsidR="000D42CA">
        <w:t xml:space="preserve"> uplaćenih 2020. god. za maturalno putov</w:t>
      </w:r>
      <w:r w:rsidR="008F2FB0">
        <w:t>a</w:t>
      </w:r>
      <w:r w:rsidR="000D42CA">
        <w:t>nje</w:t>
      </w:r>
      <w:r>
        <w:t xml:space="preserve"> u iznosu 7.791 kn</w:t>
      </w:r>
      <w:r w:rsidR="0010463B">
        <w:t xml:space="preserve"> pa sad on iznosi 17.648,27 kn.</w:t>
      </w:r>
    </w:p>
    <w:p w14:paraId="5F421F9A" w14:textId="4513D27F" w:rsidR="00ED05ED" w:rsidRDefault="00ED05ED" w:rsidP="0061688B">
      <w:pPr>
        <w:pStyle w:val="Bezproreda"/>
      </w:pPr>
    </w:p>
    <w:p w14:paraId="247F29BB" w14:textId="712F6CEE" w:rsidR="00ED05ED" w:rsidRDefault="00ED05ED" w:rsidP="0061688B">
      <w:pPr>
        <w:pStyle w:val="Bezproreda"/>
      </w:pPr>
      <w:r w:rsidRPr="00ED05ED">
        <w:rPr>
          <w:u w:val="single"/>
        </w:rPr>
        <w:t>Bilješka broj 50</w:t>
      </w:r>
      <w:r>
        <w:t xml:space="preserve"> – AOP 640 kontinuirani rashodi budućih razdoblja odnosi se na plaću za prosinac 2021. koja je isplaćena u siječnju 2022. i iznose 803.925 kn.</w:t>
      </w:r>
    </w:p>
    <w:p w14:paraId="18E47A06" w14:textId="1029FF11" w:rsidR="00966679" w:rsidRDefault="00966679" w:rsidP="0061688B">
      <w:pPr>
        <w:pStyle w:val="Bezproreda"/>
      </w:pPr>
    </w:p>
    <w:p w14:paraId="29334780" w14:textId="77777777" w:rsidR="009E63B8" w:rsidRPr="00E07FF7" w:rsidRDefault="009E63B8" w:rsidP="009E63B8">
      <w:pPr>
        <w:pStyle w:val="Odlomakpopisa"/>
        <w:numPr>
          <w:ilvl w:val="0"/>
          <w:numId w:val="1"/>
        </w:numPr>
        <w:rPr>
          <w:b/>
        </w:rPr>
      </w:pPr>
      <w:r w:rsidRPr="00E07FF7">
        <w:rPr>
          <w:b/>
        </w:rPr>
        <w:lastRenderedPageBreak/>
        <w:t>Bilješke uz izvještaj o promjenama u vrijednosti i obujmu imovine i obveza</w:t>
      </w:r>
    </w:p>
    <w:p w14:paraId="2F4ACBD9" w14:textId="0F96C0B7" w:rsidR="009E63B8" w:rsidRDefault="001303E5" w:rsidP="009E63B8">
      <w:r w:rsidRPr="00B568CE">
        <w:rPr>
          <w:u w:val="single"/>
        </w:rPr>
        <w:t xml:space="preserve">Bilješka broj  </w:t>
      </w:r>
      <w:r w:rsidR="003E1F7B" w:rsidRPr="00B568CE">
        <w:rPr>
          <w:u w:val="single"/>
        </w:rPr>
        <w:t>5</w:t>
      </w:r>
      <w:r w:rsidR="008C6136">
        <w:rPr>
          <w:u w:val="single"/>
        </w:rPr>
        <w:t>1</w:t>
      </w:r>
      <w:r w:rsidR="00B56E26">
        <w:t xml:space="preserve"> </w:t>
      </w:r>
      <w:r w:rsidR="0048221B">
        <w:t>–</w:t>
      </w:r>
      <w:r w:rsidR="00DA361F">
        <w:t xml:space="preserve"> </w:t>
      </w:r>
      <w:r w:rsidR="00761D8C">
        <w:t xml:space="preserve"> AOP 021  zabilježen je iznos povećanja dugotrajne imovine zbog prijenosa nefinancijske imovine- stolovi i klupe za učionicu na otvorenome, od strane Grada Krapine u vlasništvo OŠ „Ljudevit Gaj“  i to u iznosu 16.717 kn.</w:t>
      </w:r>
    </w:p>
    <w:p w14:paraId="08FA3A9A" w14:textId="77777777" w:rsidR="0000066A" w:rsidRDefault="0000066A" w:rsidP="009E63B8"/>
    <w:p w14:paraId="637B0F35" w14:textId="77777777" w:rsidR="001303E5" w:rsidRPr="00E07FF7" w:rsidRDefault="001303E5" w:rsidP="001303E5">
      <w:pPr>
        <w:pStyle w:val="Odlomakpopisa"/>
        <w:numPr>
          <w:ilvl w:val="0"/>
          <w:numId w:val="1"/>
        </w:numPr>
        <w:rPr>
          <w:b/>
        </w:rPr>
      </w:pPr>
      <w:r w:rsidRPr="00E07FF7">
        <w:rPr>
          <w:b/>
        </w:rPr>
        <w:t>Bilješke uz Izvještaj o obvezama</w:t>
      </w:r>
    </w:p>
    <w:p w14:paraId="03035A1F" w14:textId="555182A6" w:rsidR="001303E5" w:rsidRDefault="001303E5" w:rsidP="003A5EBF">
      <w:pPr>
        <w:pStyle w:val="Bezproreda"/>
      </w:pPr>
      <w:r w:rsidRPr="00B568CE">
        <w:rPr>
          <w:u w:val="single"/>
        </w:rPr>
        <w:t xml:space="preserve">Bilješka broj  </w:t>
      </w:r>
      <w:r w:rsidR="003E1F7B" w:rsidRPr="00B568CE">
        <w:rPr>
          <w:u w:val="single"/>
        </w:rPr>
        <w:t>5</w:t>
      </w:r>
      <w:r w:rsidR="008C6136">
        <w:rPr>
          <w:u w:val="single"/>
        </w:rPr>
        <w:t>2</w:t>
      </w:r>
      <w:r w:rsidR="00B56E26">
        <w:t xml:space="preserve"> </w:t>
      </w:r>
      <w:r w:rsidR="00DA361F">
        <w:t xml:space="preserve">– </w:t>
      </w:r>
      <w:r w:rsidR="00EC433C">
        <w:t>AOP 0</w:t>
      </w:r>
      <w:r w:rsidR="000C4545">
        <w:t>01</w:t>
      </w:r>
      <w:r w:rsidR="00EC433C">
        <w:t xml:space="preserve"> S</w:t>
      </w:r>
      <w:r>
        <w:t>tanje obveza</w:t>
      </w:r>
      <w:r w:rsidR="005C272E">
        <w:t xml:space="preserve"> 1.siječnja</w:t>
      </w:r>
      <w:r w:rsidR="00D767A8">
        <w:t>-</w:t>
      </w:r>
      <w:r w:rsidR="005C272E">
        <w:t xml:space="preserve">  </w:t>
      </w:r>
      <w:r w:rsidR="00761D8C">
        <w:t>877.325</w:t>
      </w:r>
      <w:r w:rsidR="00B1330D">
        <w:t xml:space="preserve"> kuna</w:t>
      </w:r>
      <w:r w:rsidR="005C272E">
        <w:t xml:space="preserve"> odnosi se na plaću i naknade za prosinac 20</w:t>
      </w:r>
      <w:r w:rsidR="00761D8C">
        <w:t>20</w:t>
      </w:r>
      <w:r w:rsidR="005C272E">
        <w:t>. te na re</w:t>
      </w:r>
      <w:r w:rsidR="00860251">
        <w:t>žijske troškove iz prosinca 20</w:t>
      </w:r>
      <w:r w:rsidR="00761D8C">
        <w:t>20</w:t>
      </w:r>
      <w:r w:rsidR="005C272E">
        <w:t xml:space="preserve">. za koje su računi zaprimljeni </w:t>
      </w:r>
      <w:r w:rsidR="005B512B">
        <w:t xml:space="preserve">i podmireni </w:t>
      </w:r>
      <w:r w:rsidR="005C272E">
        <w:t>u siječnju 20</w:t>
      </w:r>
      <w:r w:rsidR="00B1330D">
        <w:t>2</w:t>
      </w:r>
      <w:r w:rsidR="00761D8C">
        <w:t>1</w:t>
      </w:r>
      <w:r w:rsidR="005C272E">
        <w:t xml:space="preserve">. </w:t>
      </w:r>
    </w:p>
    <w:p w14:paraId="32A50006" w14:textId="2E56A3F1" w:rsidR="00275D3A" w:rsidRDefault="001303E5" w:rsidP="00EF2CE5">
      <w:pPr>
        <w:pStyle w:val="Bezproreda"/>
      </w:pPr>
      <w:r w:rsidRPr="00B568CE">
        <w:rPr>
          <w:u w:val="single"/>
        </w:rPr>
        <w:t xml:space="preserve">Bilješka broj </w:t>
      </w:r>
      <w:r w:rsidR="000D1CA9" w:rsidRPr="00B568CE">
        <w:rPr>
          <w:u w:val="single"/>
        </w:rPr>
        <w:t>5</w:t>
      </w:r>
      <w:r w:rsidR="008C6136">
        <w:rPr>
          <w:u w:val="single"/>
        </w:rPr>
        <w:t>3</w:t>
      </w:r>
      <w:r w:rsidR="00DA361F">
        <w:t xml:space="preserve"> </w:t>
      </w:r>
      <w:r>
        <w:t xml:space="preserve">–AOP </w:t>
      </w:r>
      <w:r w:rsidR="00D56B19">
        <w:t>03</w:t>
      </w:r>
      <w:r w:rsidR="00761D8C">
        <w:t>8</w:t>
      </w:r>
      <w:r w:rsidR="00D767A8">
        <w:t>-</w:t>
      </w:r>
      <w:r>
        <w:t xml:space="preserve"> Stanje </w:t>
      </w:r>
      <w:r w:rsidR="00D56B19">
        <w:t>obveza na kraju izvješ</w:t>
      </w:r>
      <w:r w:rsidR="002C59C5">
        <w:t xml:space="preserve">tajnog razdoblja iznosi ukupno </w:t>
      </w:r>
      <w:r w:rsidR="00761D8C">
        <w:t>957.917</w:t>
      </w:r>
      <w:r w:rsidR="00D56B19">
        <w:t xml:space="preserve"> kuna, </w:t>
      </w:r>
      <w:r w:rsidR="00761D8C">
        <w:t xml:space="preserve">sve </w:t>
      </w:r>
      <w:r w:rsidR="00D56B19">
        <w:t>nedospjele obveze</w:t>
      </w:r>
      <w:r w:rsidR="00761D8C">
        <w:t>, i to 792.221</w:t>
      </w:r>
      <w:r w:rsidR="00D56B19">
        <w:t xml:space="preserve"> </w:t>
      </w:r>
      <w:r w:rsidR="00D767A8">
        <w:t xml:space="preserve"> kuna </w:t>
      </w:r>
      <w:r w:rsidR="00D56B19">
        <w:t xml:space="preserve">za </w:t>
      </w:r>
      <w:r w:rsidR="00D71BB9">
        <w:t xml:space="preserve">rashode za zaposlene </w:t>
      </w:r>
      <w:r w:rsidR="00275D3A">
        <w:t>(</w:t>
      </w:r>
      <w:r w:rsidR="002C59C5">
        <w:t>isplaćen</w:t>
      </w:r>
      <w:r w:rsidR="00D71BB9">
        <w:t>o</w:t>
      </w:r>
      <w:r w:rsidR="002C59C5">
        <w:t xml:space="preserve"> 1</w:t>
      </w:r>
      <w:r w:rsidR="00761D8C">
        <w:t>0</w:t>
      </w:r>
      <w:r w:rsidR="002C59C5">
        <w:t>.01.202</w:t>
      </w:r>
      <w:r w:rsidR="00761D8C">
        <w:t>2</w:t>
      </w:r>
      <w:r w:rsidR="00D56B19">
        <w:t>.)</w:t>
      </w:r>
      <w:r w:rsidR="00D71BB9">
        <w:t>,</w:t>
      </w:r>
      <w:r w:rsidR="00D56B19">
        <w:t xml:space="preserve"> </w:t>
      </w:r>
      <w:r w:rsidR="0054693E">
        <w:t>65.075</w:t>
      </w:r>
      <w:r w:rsidR="00D71BB9">
        <w:t xml:space="preserve"> kn za </w:t>
      </w:r>
      <w:r w:rsidR="00D56B19">
        <w:t>materijalne rashode poslovanja</w:t>
      </w:r>
      <w:r w:rsidR="00B10F7D">
        <w:t>,</w:t>
      </w:r>
      <w:r w:rsidR="00D71BB9">
        <w:t xml:space="preserve"> </w:t>
      </w:r>
      <w:r w:rsidR="0054693E">
        <w:t>3.801</w:t>
      </w:r>
      <w:r w:rsidR="00D71BB9">
        <w:t xml:space="preserve"> kn za financijske rashode</w:t>
      </w:r>
      <w:r w:rsidR="00B27E6C">
        <w:t xml:space="preserve"> i </w:t>
      </w:r>
      <w:r w:rsidR="0054693E">
        <w:t>3</w:t>
      </w:r>
      <w:r w:rsidR="00570A61">
        <w:t>0</w:t>
      </w:r>
      <w:r w:rsidR="00B27E6C">
        <w:t xml:space="preserve"> kn za ostale tekuće obveze za previše plaćenu školsku kuhinju</w:t>
      </w:r>
      <w:r w:rsidR="00B10F7D">
        <w:t xml:space="preserve"> </w:t>
      </w:r>
      <w:r w:rsidR="00275D3A">
        <w:t>s dospijećem do kraja siječnja 20</w:t>
      </w:r>
      <w:r w:rsidR="00B1330D">
        <w:t>2</w:t>
      </w:r>
      <w:r w:rsidR="0054693E">
        <w:t xml:space="preserve">1. </w:t>
      </w:r>
      <w:r w:rsidR="005B512B">
        <w:t xml:space="preserve">Svi računi i obveze podmireni su </w:t>
      </w:r>
      <w:r w:rsidR="0054693E">
        <w:t>do kraja siječnja</w:t>
      </w:r>
      <w:r w:rsidR="0024466D">
        <w:t xml:space="preserve"> </w:t>
      </w:r>
      <w:r w:rsidR="00B27E6C">
        <w:t>202</w:t>
      </w:r>
      <w:r w:rsidR="002C6E04">
        <w:t>2</w:t>
      </w:r>
      <w:r w:rsidR="005B512B">
        <w:t>.</w:t>
      </w:r>
      <w:r w:rsidR="0024466D">
        <w:t xml:space="preserve"> godini</w:t>
      </w:r>
      <w:r w:rsidR="00BB62AD">
        <w:t>.</w:t>
      </w:r>
    </w:p>
    <w:p w14:paraId="7EFEB8D3" w14:textId="46585EDD" w:rsidR="00DF1509" w:rsidRDefault="00B27E6C" w:rsidP="00EF2CE5">
      <w:pPr>
        <w:pStyle w:val="Bezproreda"/>
      </w:pPr>
      <w:r w:rsidRPr="00B568CE">
        <w:rPr>
          <w:u w:val="single"/>
        </w:rPr>
        <w:t xml:space="preserve">Bilješka broj </w:t>
      </w:r>
      <w:r w:rsidR="000D1CA9" w:rsidRPr="00B568CE">
        <w:rPr>
          <w:u w:val="single"/>
        </w:rPr>
        <w:t>5</w:t>
      </w:r>
      <w:r w:rsidR="008C6136">
        <w:rPr>
          <w:u w:val="single"/>
        </w:rPr>
        <w:t>4</w:t>
      </w:r>
      <w:r w:rsidR="00DA361F">
        <w:t xml:space="preserve"> </w:t>
      </w:r>
      <w:r w:rsidR="00275D3A">
        <w:t>-</w:t>
      </w:r>
      <w:r w:rsidR="00DA361F">
        <w:t xml:space="preserve"> </w:t>
      </w:r>
      <w:r w:rsidR="00275D3A">
        <w:t xml:space="preserve">AOP </w:t>
      </w:r>
      <w:r w:rsidR="00D767A8">
        <w:t>09</w:t>
      </w:r>
      <w:r w:rsidR="008C6136">
        <w:t>8</w:t>
      </w:r>
      <w:r w:rsidR="00D767A8">
        <w:t xml:space="preserve"> -</w:t>
      </w:r>
      <w:r w:rsidR="00DF1509">
        <w:t xml:space="preserve">Međusobne obveze proračunskih korisnika iznose </w:t>
      </w:r>
      <w:r w:rsidR="0054693E">
        <w:t>96.791</w:t>
      </w:r>
      <w:r w:rsidR="00DF1509">
        <w:t xml:space="preserve"> kn i odnose se na obvezu uplate 65% stanarine u Državni proračun </w:t>
      </w:r>
      <w:r w:rsidR="00B10F7D">
        <w:t>1</w:t>
      </w:r>
      <w:r w:rsidR="0054693E">
        <w:t>4.732</w:t>
      </w:r>
      <w:r w:rsidR="00DF7FCA">
        <w:t xml:space="preserve"> kn i bolovanje HZZO </w:t>
      </w:r>
      <w:r w:rsidR="0054693E">
        <w:t>82.059</w:t>
      </w:r>
      <w:r w:rsidR="00860251">
        <w:t xml:space="preserve"> kn</w:t>
      </w:r>
      <w:r>
        <w:t>.</w:t>
      </w:r>
    </w:p>
    <w:p w14:paraId="0D0574E9" w14:textId="77777777" w:rsidR="000F20AD" w:rsidRDefault="000F20AD" w:rsidP="000F20AD">
      <w:pPr>
        <w:pStyle w:val="Bezproreda"/>
      </w:pPr>
    </w:p>
    <w:p w14:paraId="2562C4AB" w14:textId="77777777" w:rsidR="002A72D8" w:rsidRPr="000F20AD" w:rsidRDefault="002A72D8" w:rsidP="000F20AD">
      <w:pPr>
        <w:pStyle w:val="Odlomakpopisa"/>
        <w:numPr>
          <w:ilvl w:val="0"/>
          <w:numId w:val="1"/>
        </w:numPr>
        <w:rPr>
          <w:b/>
        </w:rPr>
      </w:pPr>
      <w:r w:rsidRPr="000F20AD">
        <w:rPr>
          <w:b/>
        </w:rPr>
        <w:t>Bilješke uz Izvještaj o rashodima prema funkcijskoj klasifikaciji</w:t>
      </w:r>
    </w:p>
    <w:p w14:paraId="591FAC89" w14:textId="10595523" w:rsidR="002A72D8" w:rsidRDefault="002A72D8" w:rsidP="002A72D8">
      <w:r w:rsidRPr="00B568CE">
        <w:rPr>
          <w:u w:val="single"/>
        </w:rPr>
        <w:t xml:space="preserve">Bilješka broj </w:t>
      </w:r>
      <w:r w:rsidR="000D1CA9" w:rsidRPr="00B568CE">
        <w:rPr>
          <w:u w:val="single"/>
        </w:rPr>
        <w:t>5</w:t>
      </w:r>
      <w:r w:rsidR="008C6136">
        <w:rPr>
          <w:u w:val="single"/>
        </w:rPr>
        <w:t>5</w:t>
      </w:r>
      <w:r w:rsidR="00B56E26">
        <w:t xml:space="preserve"> </w:t>
      </w:r>
      <w:r>
        <w:t xml:space="preserve">– AOP 113  prikazuje </w:t>
      </w:r>
      <w:r w:rsidR="00232178">
        <w:t xml:space="preserve">ukupne </w:t>
      </w:r>
      <w:r>
        <w:t>rashode poslovanja uman</w:t>
      </w:r>
      <w:r w:rsidR="000F20AD">
        <w:t>jene za troškove prehrane</w:t>
      </w:r>
      <w:r w:rsidR="00232178">
        <w:t xml:space="preserve"> i prijevoza</w:t>
      </w:r>
      <w:r w:rsidR="000F20AD">
        <w:t xml:space="preserve"> djece.</w:t>
      </w:r>
    </w:p>
    <w:p w14:paraId="164E2D6B" w14:textId="62316456" w:rsidR="00B568CE" w:rsidRDefault="002A72D8" w:rsidP="002A72D8">
      <w:r w:rsidRPr="00B568CE">
        <w:rPr>
          <w:u w:val="single"/>
        </w:rPr>
        <w:t xml:space="preserve">Bilješka broj </w:t>
      </w:r>
      <w:r w:rsidR="000D1CA9" w:rsidRPr="00B568CE">
        <w:rPr>
          <w:u w:val="single"/>
        </w:rPr>
        <w:t>5</w:t>
      </w:r>
      <w:r w:rsidR="008C6136">
        <w:rPr>
          <w:u w:val="single"/>
        </w:rPr>
        <w:t>6</w:t>
      </w:r>
      <w:r w:rsidR="00B56E26">
        <w:t xml:space="preserve"> </w:t>
      </w:r>
      <w:r>
        <w:t>– AOP 122 D</w:t>
      </w:r>
      <w:r w:rsidR="00E07FF7">
        <w:t xml:space="preserve">odatne usluge u obrazovanju prikazuju troškove prehrane </w:t>
      </w:r>
      <w:r w:rsidR="00232178">
        <w:t xml:space="preserve">i prijevoza </w:t>
      </w:r>
      <w:r w:rsidR="00E07FF7">
        <w:t>djece</w:t>
      </w:r>
      <w:r w:rsidR="00232178">
        <w:t>.</w:t>
      </w:r>
    </w:p>
    <w:p w14:paraId="2F2AEA7F" w14:textId="6B1EC3E6" w:rsidR="002A72D8" w:rsidRDefault="00E07FF7" w:rsidP="002A72D8">
      <w:r>
        <w:t xml:space="preserve"> </w:t>
      </w:r>
    </w:p>
    <w:p w14:paraId="6DFF5285" w14:textId="3D6DDCBB" w:rsidR="00240005" w:rsidRDefault="00450783" w:rsidP="00240005">
      <w:pPr>
        <w:pStyle w:val="Bezproreda"/>
      </w:pPr>
      <w:r>
        <w:t>U Krapini, 31.01.202</w:t>
      </w:r>
      <w:r w:rsidR="002C6E04">
        <w:t>2</w:t>
      </w:r>
      <w:r w:rsidR="000C70F9">
        <w:t>.</w:t>
      </w:r>
      <w:r w:rsidR="000C70F9">
        <w:tab/>
      </w:r>
      <w:r w:rsidR="00240005">
        <w:tab/>
      </w:r>
      <w:r w:rsidR="00240005">
        <w:tab/>
      </w:r>
      <w:r w:rsidR="00BB191C">
        <w:t xml:space="preserve">   </w:t>
      </w:r>
      <w:r w:rsidR="00240005">
        <w:tab/>
      </w:r>
      <w:r w:rsidR="00BB191C">
        <w:t xml:space="preserve">     M.P.</w:t>
      </w:r>
      <w:r w:rsidR="00240005">
        <w:tab/>
      </w:r>
      <w:r w:rsidR="00BB191C">
        <w:t xml:space="preserve">                                     </w:t>
      </w:r>
      <w:r w:rsidR="00240005">
        <w:t>Odgovorna osoba:</w:t>
      </w:r>
    </w:p>
    <w:p w14:paraId="770DB285" w14:textId="061030C3" w:rsidR="00240005" w:rsidRDefault="00240005" w:rsidP="00240005">
      <w:pPr>
        <w:pStyle w:val="Bezproreda"/>
      </w:pPr>
      <w:r>
        <w:t>Osoba za kontaktiranje: Biserka König</w:t>
      </w:r>
      <w:r>
        <w:tab/>
      </w:r>
      <w:r>
        <w:tab/>
      </w:r>
      <w:r>
        <w:tab/>
      </w:r>
      <w:r w:rsidR="00BB191C">
        <w:t xml:space="preserve">                                     </w:t>
      </w:r>
      <w:r w:rsidR="002C6E04">
        <w:t xml:space="preserve">dr.sc. </w:t>
      </w:r>
      <w:r w:rsidR="00450783">
        <w:t>VLATKA DRUŽINEC</w:t>
      </w:r>
    </w:p>
    <w:p w14:paraId="0234E2DC" w14:textId="71925AA6" w:rsidR="00E07FF7" w:rsidRDefault="00240005" w:rsidP="002A72D8">
      <w:r>
        <w:t>Telefon: 049/370-618</w:t>
      </w:r>
      <w:r w:rsidR="000C70F9">
        <w:tab/>
      </w:r>
      <w:r w:rsidR="000C70F9">
        <w:tab/>
      </w:r>
      <w:r w:rsidR="000C70F9">
        <w:tab/>
      </w:r>
      <w:r w:rsidR="000C70F9">
        <w:tab/>
      </w:r>
      <w:r w:rsidR="000C70F9">
        <w:tab/>
      </w:r>
      <w:r w:rsidR="000C70F9">
        <w:tab/>
      </w:r>
      <w:r w:rsidR="000C70F9">
        <w:tab/>
      </w:r>
    </w:p>
    <w:sectPr w:rsidR="00E07F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49021" w14:textId="77777777" w:rsidR="005D1A11" w:rsidRDefault="005D1A11" w:rsidP="00DF7FCA">
      <w:pPr>
        <w:spacing w:after="0" w:line="240" w:lineRule="auto"/>
      </w:pPr>
      <w:r>
        <w:separator/>
      </w:r>
    </w:p>
  </w:endnote>
  <w:endnote w:type="continuationSeparator" w:id="0">
    <w:p w14:paraId="09B16ACF" w14:textId="77777777" w:rsidR="005D1A11" w:rsidRDefault="005D1A11" w:rsidP="00DF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954009"/>
      <w:docPartObj>
        <w:docPartGallery w:val="Page Numbers (Bottom of Page)"/>
        <w:docPartUnique/>
      </w:docPartObj>
    </w:sdtPr>
    <w:sdtEndPr/>
    <w:sdtContent>
      <w:p w14:paraId="288E481F" w14:textId="77777777" w:rsidR="00DF7FCA" w:rsidRDefault="00DF7FCA">
        <w:pPr>
          <w:pStyle w:val="Podnoje"/>
        </w:pPr>
        <w:r>
          <w:rPr>
            <w:noProof/>
            <w:lang w:eastAsia="hr-HR"/>
          </w:rPr>
          <mc:AlternateContent>
            <mc:Choice Requires="wps">
              <w:drawing>
                <wp:anchor distT="0" distB="0" distL="114300" distR="114300" simplePos="0" relativeHeight="251659264" behindDoc="0" locked="0" layoutInCell="1" allowOverlap="1" wp14:anchorId="15A3D307" wp14:editId="48E35EB4">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5B4EAD8" w14:textId="7A18C036" w:rsidR="00DF7FCA" w:rsidRDefault="00DF7FC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F2FB0" w:rsidRPr="008F2FB0">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5A3D307"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55B4EAD8" w14:textId="7A18C036" w:rsidR="00DF7FCA" w:rsidRDefault="00DF7FC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F2FB0" w:rsidRPr="008F2FB0">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6AAE1" w14:textId="77777777" w:rsidR="005D1A11" w:rsidRDefault="005D1A11" w:rsidP="00DF7FCA">
      <w:pPr>
        <w:spacing w:after="0" w:line="240" w:lineRule="auto"/>
      </w:pPr>
      <w:r>
        <w:separator/>
      </w:r>
    </w:p>
  </w:footnote>
  <w:footnote w:type="continuationSeparator" w:id="0">
    <w:p w14:paraId="0E3684C2" w14:textId="77777777" w:rsidR="005D1A11" w:rsidRDefault="005D1A11" w:rsidP="00DF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529"/>
    <w:multiLevelType w:val="hybridMultilevel"/>
    <w:tmpl w:val="1780D3B0"/>
    <w:lvl w:ilvl="0" w:tplc="CDD8680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EB3729"/>
    <w:multiLevelType w:val="hybridMultilevel"/>
    <w:tmpl w:val="8094196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641392"/>
    <w:multiLevelType w:val="hybridMultilevel"/>
    <w:tmpl w:val="6BB22C04"/>
    <w:lvl w:ilvl="0" w:tplc="A7A61204">
      <w:start w:val="1"/>
      <w:numFmt w:val="bullet"/>
      <w:lvlText w:val="-"/>
      <w:lvlJc w:val="left"/>
      <w:pPr>
        <w:ind w:left="1800" w:hanging="360"/>
      </w:pPr>
      <w:rPr>
        <w:rFonts w:ascii="Calibri" w:eastAsiaTheme="minorHAnsi" w:hAnsi="Calibri" w:cs="Calibri"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 w15:restartNumberingAfterBreak="0">
    <w:nsid w:val="278C4D39"/>
    <w:multiLevelType w:val="hybridMultilevel"/>
    <w:tmpl w:val="A03A71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D6D0D2A"/>
    <w:multiLevelType w:val="hybridMultilevel"/>
    <w:tmpl w:val="1F94F3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A4827A3"/>
    <w:multiLevelType w:val="hybridMultilevel"/>
    <w:tmpl w:val="BB16F1EA"/>
    <w:lvl w:ilvl="0" w:tplc="9D4A9B14">
      <w:start w:val="1"/>
      <w:numFmt w:val="bullet"/>
      <w:lvlText w:val="-"/>
      <w:lvlJc w:val="left"/>
      <w:pPr>
        <w:ind w:left="1776" w:hanging="360"/>
      </w:pPr>
      <w:rPr>
        <w:rFonts w:ascii="Calibri" w:eastAsiaTheme="minorHAnsi" w:hAnsi="Calibri" w:cs="Calibri"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CF"/>
    <w:rsid w:val="0000066A"/>
    <w:rsid w:val="000059D8"/>
    <w:rsid w:val="00020749"/>
    <w:rsid w:val="00030660"/>
    <w:rsid w:val="00034064"/>
    <w:rsid w:val="00037900"/>
    <w:rsid w:val="00044140"/>
    <w:rsid w:val="000448CD"/>
    <w:rsid w:val="00047108"/>
    <w:rsid w:val="000558C0"/>
    <w:rsid w:val="00070EE3"/>
    <w:rsid w:val="00077062"/>
    <w:rsid w:val="000772B7"/>
    <w:rsid w:val="000844DD"/>
    <w:rsid w:val="000A014B"/>
    <w:rsid w:val="000A0914"/>
    <w:rsid w:val="000B46D0"/>
    <w:rsid w:val="000B6E3D"/>
    <w:rsid w:val="000C2516"/>
    <w:rsid w:val="000C4545"/>
    <w:rsid w:val="000C70F9"/>
    <w:rsid w:val="000D1580"/>
    <w:rsid w:val="000D1CA9"/>
    <w:rsid w:val="000D42CA"/>
    <w:rsid w:val="000D5FDD"/>
    <w:rsid w:val="000E5CF7"/>
    <w:rsid w:val="000F20AD"/>
    <w:rsid w:val="000F5A85"/>
    <w:rsid w:val="000F6F24"/>
    <w:rsid w:val="0010463B"/>
    <w:rsid w:val="001115E9"/>
    <w:rsid w:val="00116819"/>
    <w:rsid w:val="001303E5"/>
    <w:rsid w:val="00132A76"/>
    <w:rsid w:val="00134444"/>
    <w:rsid w:val="001559D7"/>
    <w:rsid w:val="00165AF4"/>
    <w:rsid w:val="00170A86"/>
    <w:rsid w:val="00170EAC"/>
    <w:rsid w:val="00172AB3"/>
    <w:rsid w:val="001778F8"/>
    <w:rsid w:val="00181CC2"/>
    <w:rsid w:val="00181F6A"/>
    <w:rsid w:val="001835D8"/>
    <w:rsid w:val="001841F1"/>
    <w:rsid w:val="00187EFF"/>
    <w:rsid w:val="001A5E64"/>
    <w:rsid w:val="001B4C29"/>
    <w:rsid w:val="001F0219"/>
    <w:rsid w:val="00200319"/>
    <w:rsid w:val="0020122D"/>
    <w:rsid w:val="002244A5"/>
    <w:rsid w:val="00232178"/>
    <w:rsid w:val="00240005"/>
    <w:rsid w:val="00241948"/>
    <w:rsid w:val="0024466D"/>
    <w:rsid w:val="00256BD8"/>
    <w:rsid w:val="00257836"/>
    <w:rsid w:val="00264662"/>
    <w:rsid w:val="00272E09"/>
    <w:rsid w:val="00275D3A"/>
    <w:rsid w:val="00283D4F"/>
    <w:rsid w:val="00291581"/>
    <w:rsid w:val="0029467B"/>
    <w:rsid w:val="002A72D8"/>
    <w:rsid w:val="002B0E50"/>
    <w:rsid w:val="002C59C5"/>
    <w:rsid w:val="002C5A48"/>
    <w:rsid w:val="002C6E04"/>
    <w:rsid w:val="002D172D"/>
    <w:rsid w:val="002E4585"/>
    <w:rsid w:val="002E4870"/>
    <w:rsid w:val="002F0232"/>
    <w:rsid w:val="002F2AC7"/>
    <w:rsid w:val="00323FB5"/>
    <w:rsid w:val="0033050A"/>
    <w:rsid w:val="003333EC"/>
    <w:rsid w:val="00335AEC"/>
    <w:rsid w:val="0037139D"/>
    <w:rsid w:val="003866C0"/>
    <w:rsid w:val="00391409"/>
    <w:rsid w:val="003A2EC6"/>
    <w:rsid w:val="003A5EBF"/>
    <w:rsid w:val="003D7483"/>
    <w:rsid w:val="003E116F"/>
    <w:rsid w:val="003E1F7B"/>
    <w:rsid w:val="003E5A0A"/>
    <w:rsid w:val="003F3251"/>
    <w:rsid w:val="003F5ED3"/>
    <w:rsid w:val="004059CF"/>
    <w:rsid w:val="0041661C"/>
    <w:rsid w:val="0042231E"/>
    <w:rsid w:val="00424578"/>
    <w:rsid w:val="00425241"/>
    <w:rsid w:val="004313DB"/>
    <w:rsid w:val="00447088"/>
    <w:rsid w:val="00447E04"/>
    <w:rsid w:val="00450783"/>
    <w:rsid w:val="0047662C"/>
    <w:rsid w:val="0047790C"/>
    <w:rsid w:val="0048221B"/>
    <w:rsid w:val="004C4391"/>
    <w:rsid w:val="004D395E"/>
    <w:rsid w:val="004D7664"/>
    <w:rsid w:val="004E318B"/>
    <w:rsid w:val="004E3AEB"/>
    <w:rsid w:val="004E6BF5"/>
    <w:rsid w:val="004E746A"/>
    <w:rsid w:val="004F3D53"/>
    <w:rsid w:val="0050233D"/>
    <w:rsid w:val="005027F9"/>
    <w:rsid w:val="00520F98"/>
    <w:rsid w:val="00525044"/>
    <w:rsid w:val="005261CB"/>
    <w:rsid w:val="00535265"/>
    <w:rsid w:val="00541C44"/>
    <w:rsid w:val="00545197"/>
    <w:rsid w:val="0054693E"/>
    <w:rsid w:val="00557F34"/>
    <w:rsid w:val="005612D6"/>
    <w:rsid w:val="0056471A"/>
    <w:rsid w:val="00570A61"/>
    <w:rsid w:val="005A30E3"/>
    <w:rsid w:val="005B13FA"/>
    <w:rsid w:val="005B512B"/>
    <w:rsid w:val="005C1061"/>
    <w:rsid w:val="005C272E"/>
    <w:rsid w:val="005C3AE4"/>
    <w:rsid w:val="005C74BF"/>
    <w:rsid w:val="005D1A11"/>
    <w:rsid w:val="005E5FB2"/>
    <w:rsid w:val="005F1B3E"/>
    <w:rsid w:val="005F206A"/>
    <w:rsid w:val="005F6295"/>
    <w:rsid w:val="00600FB0"/>
    <w:rsid w:val="00607C95"/>
    <w:rsid w:val="0061688B"/>
    <w:rsid w:val="00624E36"/>
    <w:rsid w:val="006833C2"/>
    <w:rsid w:val="00696AE3"/>
    <w:rsid w:val="006A58B5"/>
    <w:rsid w:val="006C708C"/>
    <w:rsid w:val="006D132D"/>
    <w:rsid w:val="006D579D"/>
    <w:rsid w:val="006E0DCA"/>
    <w:rsid w:val="006E58A5"/>
    <w:rsid w:val="006E7CD0"/>
    <w:rsid w:val="006F038C"/>
    <w:rsid w:val="006F4328"/>
    <w:rsid w:val="0072191D"/>
    <w:rsid w:val="007233CB"/>
    <w:rsid w:val="00731B69"/>
    <w:rsid w:val="007414B0"/>
    <w:rsid w:val="00754619"/>
    <w:rsid w:val="00761D8C"/>
    <w:rsid w:val="007638A6"/>
    <w:rsid w:val="00783DA3"/>
    <w:rsid w:val="00794E0E"/>
    <w:rsid w:val="007A18E1"/>
    <w:rsid w:val="007A265B"/>
    <w:rsid w:val="007A578B"/>
    <w:rsid w:val="007C18C1"/>
    <w:rsid w:val="007D1D7C"/>
    <w:rsid w:val="007E0932"/>
    <w:rsid w:val="007E1448"/>
    <w:rsid w:val="007E3BE6"/>
    <w:rsid w:val="007F107F"/>
    <w:rsid w:val="00817385"/>
    <w:rsid w:val="00841E67"/>
    <w:rsid w:val="0085013F"/>
    <w:rsid w:val="00857CD1"/>
    <w:rsid w:val="0086017D"/>
    <w:rsid w:val="00860251"/>
    <w:rsid w:val="00866F03"/>
    <w:rsid w:val="00870533"/>
    <w:rsid w:val="00874AB5"/>
    <w:rsid w:val="00882DD1"/>
    <w:rsid w:val="008A1D38"/>
    <w:rsid w:val="008C2009"/>
    <w:rsid w:val="008C6136"/>
    <w:rsid w:val="008E6578"/>
    <w:rsid w:val="008E766B"/>
    <w:rsid w:val="008E7FA0"/>
    <w:rsid w:val="008F2FB0"/>
    <w:rsid w:val="008F3AF5"/>
    <w:rsid w:val="008F7295"/>
    <w:rsid w:val="0090009D"/>
    <w:rsid w:val="0090779A"/>
    <w:rsid w:val="00916639"/>
    <w:rsid w:val="009219E2"/>
    <w:rsid w:val="00941BB3"/>
    <w:rsid w:val="00945100"/>
    <w:rsid w:val="009527C6"/>
    <w:rsid w:val="00966679"/>
    <w:rsid w:val="009710D7"/>
    <w:rsid w:val="0097613A"/>
    <w:rsid w:val="009879D8"/>
    <w:rsid w:val="009915D5"/>
    <w:rsid w:val="00991749"/>
    <w:rsid w:val="0099192A"/>
    <w:rsid w:val="00995F27"/>
    <w:rsid w:val="009A3751"/>
    <w:rsid w:val="009A6D8E"/>
    <w:rsid w:val="009B0BC4"/>
    <w:rsid w:val="009C7A77"/>
    <w:rsid w:val="009D08C4"/>
    <w:rsid w:val="009D57B2"/>
    <w:rsid w:val="009D59CC"/>
    <w:rsid w:val="009E5DCA"/>
    <w:rsid w:val="009E63B8"/>
    <w:rsid w:val="009E755C"/>
    <w:rsid w:val="00A17DC9"/>
    <w:rsid w:val="00A22E34"/>
    <w:rsid w:val="00A27AEE"/>
    <w:rsid w:val="00A3039C"/>
    <w:rsid w:val="00A33706"/>
    <w:rsid w:val="00A7401D"/>
    <w:rsid w:val="00A77AC9"/>
    <w:rsid w:val="00A85C44"/>
    <w:rsid w:val="00A96139"/>
    <w:rsid w:val="00A968C5"/>
    <w:rsid w:val="00AC06EF"/>
    <w:rsid w:val="00AE6A28"/>
    <w:rsid w:val="00AF0812"/>
    <w:rsid w:val="00B10F7D"/>
    <w:rsid w:val="00B1330D"/>
    <w:rsid w:val="00B24505"/>
    <w:rsid w:val="00B27E6C"/>
    <w:rsid w:val="00B311FB"/>
    <w:rsid w:val="00B51C72"/>
    <w:rsid w:val="00B531CF"/>
    <w:rsid w:val="00B544C6"/>
    <w:rsid w:val="00B568CE"/>
    <w:rsid w:val="00B56E14"/>
    <w:rsid w:val="00B56E26"/>
    <w:rsid w:val="00B57364"/>
    <w:rsid w:val="00B857D4"/>
    <w:rsid w:val="00B9696A"/>
    <w:rsid w:val="00BA15CD"/>
    <w:rsid w:val="00BA6E28"/>
    <w:rsid w:val="00BB191C"/>
    <w:rsid w:val="00BB62AD"/>
    <w:rsid w:val="00BC1C29"/>
    <w:rsid w:val="00BC53CD"/>
    <w:rsid w:val="00BD08CF"/>
    <w:rsid w:val="00BE7B08"/>
    <w:rsid w:val="00C00A81"/>
    <w:rsid w:val="00C07794"/>
    <w:rsid w:val="00C11FEF"/>
    <w:rsid w:val="00C138F5"/>
    <w:rsid w:val="00C142F2"/>
    <w:rsid w:val="00C26BE4"/>
    <w:rsid w:val="00C42136"/>
    <w:rsid w:val="00C56C2D"/>
    <w:rsid w:val="00C66BF3"/>
    <w:rsid w:val="00C702DF"/>
    <w:rsid w:val="00C7265F"/>
    <w:rsid w:val="00C82757"/>
    <w:rsid w:val="00CA5FF6"/>
    <w:rsid w:val="00CB5E70"/>
    <w:rsid w:val="00CC26A5"/>
    <w:rsid w:val="00CD5CB4"/>
    <w:rsid w:val="00CE2243"/>
    <w:rsid w:val="00CE3D46"/>
    <w:rsid w:val="00CE4DD4"/>
    <w:rsid w:val="00CF2F96"/>
    <w:rsid w:val="00D151D5"/>
    <w:rsid w:val="00D17E1E"/>
    <w:rsid w:val="00D2117B"/>
    <w:rsid w:val="00D268D0"/>
    <w:rsid w:val="00D46A70"/>
    <w:rsid w:val="00D53F8A"/>
    <w:rsid w:val="00D56B19"/>
    <w:rsid w:val="00D62808"/>
    <w:rsid w:val="00D71BB9"/>
    <w:rsid w:val="00D723B9"/>
    <w:rsid w:val="00D74F0C"/>
    <w:rsid w:val="00D764ED"/>
    <w:rsid w:val="00D767A8"/>
    <w:rsid w:val="00D90940"/>
    <w:rsid w:val="00DA361F"/>
    <w:rsid w:val="00DA61BE"/>
    <w:rsid w:val="00DA6F99"/>
    <w:rsid w:val="00DB5651"/>
    <w:rsid w:val="00DC1A71"/>
    <w:rsid w:val="00DD386E"/>
    <w:rsid w:val="00DD4AF7"/>
    <w:rsid w:val="00DD7990"/>
    <w:rsid w:val="00DE14D1"/>
    <w:rsid w:val="00DE25D6"/>
    <w:rsid w:val="00DF11AC"/>
    <w:rsid w:val="00DF1509"/>
    <w:rsid w:val="00DF1733"/>
    <w:rsid w:val="00DF7FCA"/>
    <w:rsid w:val="00E04907"/>
    <w:rsid w:val="00E07FF7"/>
    <w:rsid w:val="00E22188"/>
    <w:rsid w:val="00E33676"/>
    <w:rsid w:val="00E44E73"/>
    <w:rsid w:val="00E529CF"/>
    <w:rsid w:val="00E53144"/>
    <w:rsid w:val="00E53AD4"/>
    <w:rsid w:val="00E5435E"/>
    <w:rsid w:val="00E54EC0"/>
    <w:rsid w:val="00E64D41"/>
    <w:rsid w:val="00E73BAE"/>
    <w:rsid w:val="00E73BD3"/>
    <w:rsid w:val="00E76695"/>
    <w:rsid w:val="00E83D1F"/>
    <w:rsid w:val="00E8408C"/>
    <w:rsid w:val="00E86308"/>
    <w:rsid w:val="00EB3B80"/>
    <w:rsid w:val="00EC1842"/>
    <w:rsid w:val="00EC433C"/>
    <w:rsid w:val="00EC4C9C"/>
    <w:rsid w:val="00EC58BE"/>
    <w:rsid w:val="00EC7BC0"/>
    <w:rsid w:val="00ED05ED"/>
    <w:rsid w:val="00ED2DCA"/>
    <w:rsid w:val="00ED7805"/>
    <w:rsid w:val="00EF2CE5"/>
    <w:rsid w:val="00EF601A"/>
    <w:rsid w:val="00EF6256"/>
    <w:rsid w:val="00EF635F"/>
    <w:rsid w:val="00F003A7"/>
    <w:rsid w:val="00F06036"/>
    <w:rsid w:val="00F06302"/>
    <w:rsid w:val="00F068CF"/>
    <w:rsid w:val="00F21CDA"/>
    <w:rsid w:val="00F23560"/>
    <w:rsid w:val="00F30C6A"/>
    <w:rsid w:val="00F326AE"/>
    <w:rsid w:val="00F40E00"/>
    <w:rsid w:val="00F43ED1"/>
    <w:rsid w:val="00F54F13"/>
    <w:rsid w:val="00F61621"/>
    <w:rsid w:val="00F6690D"/>
    <w:rsid w:val="00F75246"/>
    <w:rsid w:val="00F80F12"/>
    <w:rsid w:val="00F84632"/>
    <w:rsid w:val="00FB5181"/>
    <w:rsid w:val="00FC6B8D"/>
    <w:rsid w:val="00FD2FA2"/>
    <w:rsid w:val="00FE08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8FE05"/>
  <w15:docId w15:val="{2750C67F-48E8-4B45-AC08-3FA080FD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A58B5"/>
    <w:pPr>
      <w:ind w:left="720"/>
      <w:contextualSpacing/>
    </w:pPr>
  </w:style>
  <w:style w:type="paragraph" w:styleId="Bezproreda">
    <w:name w:val="No Spacing"/>
    <w:uiPriority w:val="1"/>
    <w:qFormat/>
    <w:rsid w:val="00874AB5"/>
    <w:pPr>
      <w:spacing w:after="0" w:line="240" w:lineRule="auto"/>
    </w:pPr>
  </w:style>
  <w:style w:type="paragraph" w:styleId="Tekstbalonia">
    <w:name w:val="Balloon Text"/>
    <w:basedOn w:val="Normal"/>
    <w:link w:val="TekstbaloniaChar"/>
    <w:uiPriority w:val="99"/>
    <w:semiHidden/>
    <w:unhideWhenUsed/>
    <w:rsid w:val="00EC433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C433C"/>
    <w:rPr>
      <w:rFonts w:ascii="Segoe UI" w:hAnsi="Segoe UI" w:cs="Segoe UI"/>
      <w:sz w:val="18"/>
      <w:szCs w:val="18"/>
    </w:rPr>
  </w:style>
  <w:style w:type="paragraph" w:styleId="Zaglavlje">
    <w:name w:val="header"/>
    <w:basedOn w:val="Normal"/>
    <w:link w:val="ZaglavljeChar"/>
    <w:uiPriority w:val="99"/>
    <w:unhideWhenUsed/>
    <w:rsid w:val="00DF7F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F7FCA"/>
  </w:style>
  <w:style w:type="paragraph" w:styleId="Podnoje">
    <w:name w:val="footer"/>
    <w:basedOn w:val="Normal"/>
    <w:link w:val="PodnojeChar"/>
    <w:uiPriority w:val="99"/>
    <w:unhideWhenUsed/>
    <w:rsid w:val="00DF7F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F7FCA"/>
  </w:style>
  <w:style w:type="table" w:styleId="Reetkatablice">
    <w:name w:val="Table Grid"/>
    <w:basedOn w:val="Obinatablica"/>
    <w:uiPriority w:val="59"/>
    <w:rsid w:val="00857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7AE50-3C3C-408B-A3C5-1D8A2A73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7</Pages>
  <Words>3661</Words>
  <Characters>20873</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Biserka</cp:lastModifiedBy>
  <cp:revision>168</cp:revision>
  <cp:lastPrinted>2021-01-31T11:43:00Z</cp:lastPrinted>
  <dcterms:created xsi:type="dcterms:W3CDTF">2017-01-29T13:41:00Z</dcterms:created>
  <dcterms:modified xsi:type="dcterms:W3CDTF">2022-01-31T09:05:00Z</dcterms:modified>
</cp:coreProperties>
</file>